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152 vom 10. Februar 2012</w:t>
      </w:r>
    </w:p>
    <w:p>
      <w:r>
        <w:t>VD Tribunal cantonal, 2012-02-10, FR</w:t>
      </w:r>
    </w:p>
    <w:p>
      <w:r>
        <w:rPr>
          <w:b/>
        </w:rPr>
        <w:t xml:space="preserve">Quelle: </w:t>
      </w:r>
      <w:r>
        <w:t>https://mcp.opencaselaw.ch/entscheid/vd_findinfo_HC___2012___152</w:t>
      </w:r>
    </w:p>
    <w:p>
      <w:r>
        <w:t>FR: VD_FINDINFO HC / 2012 / 152 du 10 février 2012</w:t>
      </w:r>
    </w:p>
    <w:p>
      <w:r>
        <w:t>IT: VD_FINDINFO HC / 2012 / 152 del 10 febbraio 2012</w:t>
      </w:r>
    </w:p>
    <w:p>
      <w:pPr>
        <w:pStyle w:val="Heading2"/>
      </w:pPr>
      <w:r>
        <w:t>Regeste</w:t>
      </w:r>
    </w:p>
    <w:p>
      <w:r>
        <w:t>ACTION EN DIVORCE, DIVORCE, EFFETS ACCESSOIRES DU DIVORCE, OBLIGATION D'ENTRETIEN, CONJOINT, ENFANT, AUTONOMIE | 125 CC, 133 al. 1 CC, 133 CC, 276 CC, 277 al. 2 CC, 285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En l’espèce, seule est litigieuse la question de l’éventuelle contribution d’entretien due par l’intimé en faveur des appelants, de sorte qu’il s’agit d’une cause patrimoniale (cf. Jeandin, in CPC commenté, Bâle 2011,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d’A.________ est recevable à la forme. Se pose la question de la recevabilité de l’appel de l’enfant B.________, devenu majeur en cours de procédure d’appel et dont le conseil de l’appelante prétend agir également pour lui. Une telle solution est possible, pour autant que l’enfant devenu majeur ratifie les actes de son représentant ou confirme qu’il souhaite que la procédure suivie alors qu’il était mineur se poursuive après sa majorité (Wullschleger, in FamKommentar Scheidung, tome I, 2 e éd., Berne 2011, n. 13 ad rem. introductives aux art. 276 à 293 CC ; Piotet, in Commentaire romand, Bâle 2010, n. 6 ad art. 279 CC). En l’espèce, le mandataire des appelants a versé au dossier une procuration signée tant par l’appelante que par son fils en date du 1 er novembre 2011. Il en découle que l’appel déposé par B.________ est également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in JT 2010 III 135).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En l’espèce, l’autorité d’appel est en mesure de statuer en réforme sur la base des pièces au dossier et de celles, recevables, produites en deuxième instance (cf. ci-dessous c. 2d).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in JT 2010 III 140). Cette limitation ne vaut pas lorsque la maxime d’office est applicable, les conclusions des parties n’étant que des propositions qui ne lient pas le juge (Reetz/Hilber, in Kommentar zur Schweizerischen Zivilprozessordnung, Zurich 2010, n. 76 ad art. 317 CPC). En l’espèce, les appelants ont repris les conclusions prises en première instance, le cas échéant telles que modifiées à l’audience de jugement du 18 août 2011. Ces conclusions sont donc recevables.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En l’espèce, les pièces produites en appel portent exclusivement sur la situation personnelle et financière de l’appelante. Dès lors que l’art. 277 al. 1 CPC prévoit que la procédure concernant le régime matrimonial et les contributions d’entretien entre ex-époux après divorce est régie par la maxime des débats, la recevabilité des pièces produites s’apprécie au regard des conditions fixées par l’art. 317 al. 1 CPC. Il en découle que la pièce 140, qui est postérieure à l’audience de jugement, est recevable et qu’elle a donc été prise en compte dans l’établissement des faits. Les autres pièces nouvelles produites en appel sont irrecevables, dès lors que l’appelante ne démontre pas qu’elles n’ont pas pu être produites en première instance.</w:t>
      </w:r>
    </w:p>
    <w:p>
      <w:r>
        <w:rPr>
          <w:b/>
        </w:rPr>
        <w:t>E. 3</w:t>
      </w:r>
    </w:p>
    <w:p>
      <w:r>
        <w:t>a) Dans un premier moyen, les appelants soutiennent que la contribution d’entretien accordée par les premiers juges à B.________ procède d’une application erronée du droit. Ils font valoir, d’une part, que le montant de 1'180 fr. est insuffisant à couvrir les besoins de celui-ci et, d’autre part, que la méthode consistant à fixer la contribution d’entretien en fonction d’un pourcentage du revenu net du parent débiteur est inopportune en raison de son schématisme ; à ce propos, ils plaident qu’il serait plus judicieux de procéder à l’aide des tabelles zurichoises. Les appelants contestent enfin le revenu de l’intimé retenu par les premiers juges ; ils soutiennent qu’en réalité, il serait plus élevé et qu’il y aurait lieu, de surcroît, de tenir compte du fait que ce revenu aurait tendance à augmenter.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p. 393 ; Meier/Stettler, Droit de la filiation, 4 e éd., Zurich 2009, n. 978, pp. 567-568 ; TF 5A_84/2007 du 18 septembre 2007 c. 5.1, reproduit in Revue du droit de la tutelle 2007, p. 299). lI s’agit là d’un taux approximatif qui doit être pondéré au vu des circonstances, selon l’équité (ATF 107 Il 406 c. 2c ; RSJ 1984, n. 4, p. 392 précité ; Meier/Stettler, ibidem). Le Tribunal fédéral a avalisé la méthode forfaitaire telle qu’appliquée dans le canton de Vaud, pour autant que la contribution d’entretien reste en rapport avec le niveau de vie et la capacité contributive du débiteur (TF 5A_84/2007 précité ; TF 5A_178/2008 du 23 avril 2008 c. 3.3). Les taux précités s’entendent toutefois pour des enfants en bas âge, de sorte qu’il se justifie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19 janvier 2012/38 ; CREC II 22 octobre 2007/207 c. 5 et les réf. citées). c) En l’espèce, il a été retenu, sur la base de sa déclaration fiscale pour l’année 2009, que l’intimé réalisait un revenu mensuel net de 7'898 fr., treizième salaire et indemnités compris. S’il est vrai que l’intimé a réalisé un revenu mensuel moyen supérieur de 141 fr. en 2010 par rapport à 2009, ce qui ressort du certificat de salaire établi pour cette année-là, les décomptes de salaire des mois de janvier à juin 2011 attestent que le revenu de l’intimé en 2011 est plus bas que celui de 2010 et correspond approximativement à celui réalisé en 2009 (7'909 fr. contre 7'898 fr.), l’intimé expliquant cette baisse par le fait que les heures supplémentaires ne sont plus payées sur une base effective, mais par forfait. Dans ces circonstances, il y a lieu de retenir un revenu mensuel net de 7'898 francs. Les griefs des appelants relatifs au revenu de l’intimé doivent ainsi être rejetés. Au moment du jugement, B.________ était pratiquement majeur. La contribution d’entretien due en sa faveur doit ainsi correspondre aux 15 % du revenu net du parent contributeur, augmenté du montant correspondant à trois paliers (six ans, dix ou douze ans et seize ans) d’au moins 50 fr. chacun. Il se justifie dès lors de fixer la contribution d’entretien due par l’intimé en faveur de B.________ à 1'330 fr. (1'180 fr. [15 % de 7'898 fr.] + 150 fr.), montant qui, au demeurant, est en rapport avec le niveau de vie et la capacité contributive de l’intimé. On relèvera au surplus qu’une telle contribution d’entretien n’est pas critiquable au regard des tabelles zurichoises. L’évaluation forfaitaire selon ces tabelles, qui ne prend pas suffisamment en considération les circonstances concrètes, doit en effet être pondérée à deux égards, à savoir en tenant compte d’une part des besoins réels et des conditions de vie effectives de l’enfant, ainsi que, d’autre part, du niveau de vie et de la capacité contributive des parents (TF 5A_159/2009 du 16 octobre 2009 c. 4.1 et les arrêts cités). En l’espèce, les valeurs des tabelles devraient ainsi être réduites pour tenir compte de ce que le poste « soins et entretien » ne devrait pas être pris en compte dès lors qu’il est assumé par le parent gardien (TF 5A_690/2010 du 21 avril 2011). Il y aurait lieu également de tenir compte du fait que B.________ vit avec sa mère et que les frais de nourriture et d’hébergement doivent être imputés en conséquence.</w:t>
      </w:r>
    </w:p>
    <w:p>
      <w:r>
        <w:rPr>
          <w:b/>
        </w:rPr>
        <w:t>E. 4</w:t>
      </w:r>
    </w:p>
    <w:p>
      <w:r>
        <w:t>a) Dans un deuxième moyen, l’appelante sollicite une contribution d’entretien pour elle-même en plaidant que les circonstances ne permettent pas d’imposer purement et simplement le clean break. Elle fait valoir notamment qu’en raison de son état de santé, elle n’est pas en mesure de travailler à 100 % et que c’est ainsi à tort que les premiers juges ont retenu qu’elle pourrait réaliser un revenu mensuel net de l’ordre de 6'000 francs.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En l’espèce, le mariage des parties a duré environ dix-huit ans. Elles ont eu un enfant. L’épouse n’a travaillé que de 1995 à 1997, puis dès 2005, toujours à un taux d’activité d’environ 40 %. Au regard de ces éléments, on doit admettre que le mariage a exercé une influence concrète et durable sur la situation financière de l’épouse. c) 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(ATF 115 lI 6 c. 5a ; TF 5A_76/2009 du 4 mai 2009 c. 6.2.3 ; TF 5C.320/2006 du 1 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50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w:t>
      </w:r>
    </w:p>
    <w:p>
      <w:r>
        <w:rPr>
          <w:b/>
        </w:rPr>
        <w:t>E. 6</w:t>
      </w:r>
    </w:p>
    <w:p>
      <w:r>
        <w:t>Le 16 février 2012, le conseil d’office de l’appelante a déposé une liste des opérations, dont il ressort qu’il a consacré six heures à la procédure d’appel, ce qui paraît justifié vu l’ampleur du litige et le travail accompli. Au tarif horaire de 180 fr. (art. 2 RAJ [Règlement sur l’assistance judiciaire en matière civile du 7 décembre 2010, RSV 211.02.3]), l’indemnité d’honoraires doit être fixée à 1'166 fr. 40, TVA comprise. Les débours annoncés doivent être admis à hauteur de 18 fr. 90. Aussi, l’indemnité d’office de Me Minh Son Nguyen doit être arrêtée à 1'185 fr. 30.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