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151 vom 5. März 2012</w:t>
      </w:r>
    </w:p>
    <w:p>
      <w:r>
        <w:t>VD Tribunal cantonal, 2012-03-05, FR</w:t>
      </w:r>
    </w:p>
    <w:p>
      <w:r>
        <w:rPr>
          <w:b/>
        </w:rPr>
        <w:t xml:space="preserve">Quelle: </w:t>
      </w:r>
      <w:r>
        <w:t>https://mcp.opencaselaw.ch/entscheid/vd_findinfo_HC___2012___151</w:t>
      </w:r>
    </w:p>
    <w:p>
      <w:r>
        <w:t>FR: VD_FINDINFO HC / 2012 / 151 du 5 mars 2012</w:t>
      </w:r>
    </w:p>
    <w:p>
      <w:r>
        <w:t>IT: VD_FINDINFO HC / 2012 / 151 del 5 marzo 2012</w:t>
      </w:r>
    </w:p>
    <w:p>
      <w:pPr>
        <w:pStyle w:val="Heading2"/>
      </w:pPr>
      <w:r>
        <w:t>Regeste</w:t>
      </w:r>
    </w:p>
    <w:p>
      <w:r>
        <w:t>MESURE DE CONTRAINTE{DROIT DES ÉTRANGERS}, PROLONGATION, DÉTENTION AUX FINS D'EXPULSION | 3 CEDH, 76 al. 4 LEtr, 80 al. 5 LEtr</w:t>
      </w:r>
    </w:p>
    <w:p>
      <w:pPr>
        <w:pStyle w:val="Heading2"/>
      </w:pPr>
      <w:r>
        <w:t>Erwägungen</w:t>
      </w:r>
    </w:p>
    <w:p>
      <w:r>
        <w:rPr>
          <w:b/>
        </w:rPr>
        <w:t>E. 1</w:t>
      </w:r>
    </w:p>
    <w:p>
      <w:r>
        <w:t>Selon l'art. 30 al. 1 LVLEtr (Loi d'application dans le Canton de Vaud de la législation fédérale sur les étrangers du 18 décembre 2007;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(art. 80 al. 1 LEtr [Loi fédérale du 16 décembre 2005 sur les étrangers, RS 142.20]). Il est de la compétence de la Chambre des recours civile (art. 71 et 73 al. 1 LOJV [Loi d'organisation judiciaire du 12 décembre 1979; RSV 173.01] et art. 18 al.</w:t>
      </w:r>
    </w:p>
    <w:p>
      <w:r>
        <w:rPr>
          <w:b/>
        </w:rPr>
        <w:t>E. 3</w:t>
      </w:r>
    </w:p>
    <w:p>
      <w:r>
        <w:t>a) Le recourant soutient que la prolongation de sa détention est beaucoup trop longue. b) Aux termes de l'art. 80 al. 5 LEtr,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de deux mois si la personne est détenue en vue d'un renvoi, en vertu de l’art. 76 LEtr. c) Au regard de ce qui précède, il apparaît que le moyen du recourant est dénué de pertinence dès lors qu’il conserve la possibilité de demander sa libération en tout temps si les conditions justifiant sa détention ne sont plus remplies.</w:t>
      </w:r>
    </w:p>
    <w:p>
      <w:r>
        <w:rPr>
          <w:b/>
        </w:rPr>
        <w:t>E. 4</w:t>
      </w:r>
    </w:p>
    <w:p>
      <w:r>
        <w:t>a) Le recourant fait valoir qu’il serait confronté à des conditions indignes et dégradantes s’il était renvoyé en Italie. b) Aux termes de l'art. 3 CEDH (Convention du 4 novembre 1950 de sauvegarde des droits de l’homme et des libertés fondamentales; RS 0.101), nul ne peut être soumis à la torture ni à des peines ou traitements inhumains ou dégradants. Conformément à la jurisprudence de la Cour européenne des droits de l’homme, la possibilité d’une violation du droit des gens doit être suffisamment concrète et précise: il appartient ainsi à celui qui s’en prévaut de démontrer que I’Etat responsable de l’examen de sa demande d’asile ne respectera pas, dans son cas particulier le droit international public (Décision de la CourEDH T.l. c. Royaume-Uni du 7 mars 2000, requête no 43844/98). c) L'argumentation du recourant, déjà développée à l’appui de son recours auprès du Tribunal fédéral administratif (ci-après TAF) contre la décision de non entrée en matière d’asile et de renvoi rendue le 19 août 2010 par l'ODM, a été rejetée par le TAF dans son arrêt du 27 août 2010. En substance, l'autorité de recours a considéré que l'Italie était partie à la Convention du 28 juillet 1951 relative au statut des réfugiés (RS 0.142.30) et à son Protocole additionnel (Protocole du 31 janvier 1967 relatif au statut des réfugiés; RS 0.142.301), de même qu’à la CEDH ainsi qu’à la Convention du 10 décembre 1984 contre la torture et autres peines ou traitements cruels, inhumains ou dégradants (RS 0.105), si bien que les autorités suisses pouvaient présumer que les règles imposées par les conventions précitées seraient respectées sur le territoire italien, le recourant n'étant pas parvenu à renverser cette présomption. En l'espèce, le recourant ne se livre pas à la démonstration des violations dont il pourrait être victime sur le sol italien, se bornant à dénoncer la politique de prise en charge des requérants d’asile en Italie. Au vu des éléments qui précèdent, cette critique générale ne suffit pas à renverser la présomption que l’Italie ne respecterait pas, en ce qui le concerne, les conventions internationales qui la lient, que ce soit sous l’angle de l’assistance morale, matérielle ou médicale. Ce moyen est ainsi mal fondé et doit être rejeté.</w:t>
      </w:r>
    </w:p>
    <w:p>
      <w:r>
        <w:rPr>
          <w:b/>
        </w:rPr>
        <w:t>E. 5</w:t>
      </w:r>
    </w:p>
    <w:p>
      <w:r>
        <w:t>a) Le recourant reproche aux autorités administratives de tarder à exécuter son renvoi. b) Aux termes de l'art. 76 al. 4 LEtr, les démarches nécessaires à l’exécution du renvoi doivent être entreprises sans tarder. c) En premier lieu, il apparaît que, sous peine d’être de mauvaise foi, le recourant ne peut pas faire grief aux autorités administratives de tarder à exécuter un renvoi auquel il s’oppose fermement. Examiné sous l’angle du principe de la célérité, de la diligence et de la proportionnalité, ce grief est également infondé. Les démarches entreprises en vue de l’exécution du renvoi se poursuivent sans discontinuer, l’ODM ayant demandé aux autorités italiennes l’autorisation de procéder au refoulement du recourant par voie terrestre ensuite de l’échec d’un renvoi par la voie aérienne. Le refoulement pourra manifestement être exécuté avant l’échéance maximale de détention de dix-huit mois prévue par la loi. Or, ce n’est que lorsque des raisons sérieuses laissent à penser que la mesure d’éloignement ne pourra certainement pas intervenir avant la fin de ce délai légal qu’une détention est inadmissible sous l’angle du principe de la proportionnalité (TF 2A.549/2003 du 3 décembre 2003 c. 2.2). En outre, il ne ressort pas du dossier que l’état de santé du recourant serait incompatible avec la détention, si bien qu’examinée sous cet aspect, la prolongation de la détention n’est pas davantage disproportionnée à l’état de santé du recourant. Le moyen du recourant est par conséquent mal fondé.</w:t>
      </w:r>
    </w:p>
    <w:p>
      <w:r>
        <w:rPr>
          <w:b/>
        </w:rPr>
        <w:t>E. 6</w:t>
      </w:r>
    </w:p>
    <w:p>
      <w:r>
        <w:t>mars 2012 Le dispositif de l'arrêt qui précède est communiqué par écrit aux intéressés. La greffière : Du L'arrêt qui précède, dont la rédaction a été approuvée à huis clos, est notifié en expédition complète, par l'envoi de photocopies, à : ‑ Service d'Aide Juridique aux Exilé-e-s (pour U.________), ‑ Service de la population –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