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143 vom 22. März 2012</w:t>
      </w:r>
    </w:p>
    <w:p>
      <w:r>
        <w:t>VD Tribunal cantonal, 2012-03-22, FR</w:t>
      </w:r>
    </w:p>
    <w:p>
      <w:r>
        <w:rPr>
          <w:b/>
        </w:rPr>
        <w:t xml:space="preserve">Quelle: </w:t>
      </w:r>
      <w:r>
        <w:t>https://mcp.opencaselaw.ch/entscheid/vd_findinfo_HC___2012___143</w:t>
      </w:r>
    </w:p>
    <w:p>
      <w:r>
        <w:t>FR: VD_FINDINFO HC / 2012 / 143 du 22 mars 2012</w:t>
      </w:r>
    </w:p>
    <w:p>
      <w:r>
        <w:t>IT: VD_FINDINFO HC / 2012 / 143 del 22 marzo 2012</w:t>
      </w:r>
    </w:p>
    <w:p>
      <w:pPr>
        <w:pStyle w:val="Heading2"/>
      </w:pPr>
      <w:r>
        <w:t>Regeste</w:t>
      </w:r>
    </w:p>
    <w:p>
      <w:r>
        <w:t>PROTECTION DE L'UNION CONJUGALE, OBLIGATION D'ENTRETIEN, SUSPENSION DE LA VIE COMMUNE | 163 CC, 176 al. 1 ch. 1 CC, 308 al. 1 let. b CPC (CH), 308 al. 2 CPC (CH), 310 CPC (CH), 317 al. 1 CPC (CH)</w:t>
      </w:r>
    </w:p>
    <w:p>
      <w:pPr>
        <w:pStyle w:val="Heading2"/>
      </w:pPr>
      <w:r>
        <w:t>Erwägungen</w:t>
      </w:r>
    </w:p>
    <w:p>
      <w:r>
        <w:rPr>
          <w:b/>
        </w:rPr>
        <w:t>E. 6</w:t>
      </w:r>
    </w:p>
    <w:p>
      <w:r>
        <w:t>a) S'agissant du budget de l'intimé, l'appelante fait valoir que l'intéressé vit en concubinage, si bien que son minimum vital devrait être celui d'une personne vivant en couple et que les charges de la maison devraient être divisées par deux. L'appelante n'établit toutefois pas que l'amie de l'intimé cohabiterait avec lui. Si le Tribunal fédéral a jugé qu'il n'était pas arbitraire de considérer que le nouveau compagnon du conjoint pourrait participer pour moitié aux frais communs lorsque les intéressés forment une communauté de toit et de table ayant pour but de partager les frais et les dépenses (ATF 5P.463/2003 du 20 février 2004 c. 3.2; ATF 5P.90/2002 du 1 er juillet 2002 c. 2b/aa, publié in FamPra 2002 p. 813), l'existence d'une telle communauté n'est pas établie en l'espèce au degré de la vraisemblance, de sorte que le moyen de l'appelante doit être rejeté. b) Pour le reste, l'intimé ne conteste pas le budget relatif à ses charges mensuelles essentielles tel que l'a retenu le premier juge pour un montant total de 12'345 fr. 25. Dans le cadre de la méthode du train de vie, il y a toutefois lieu, comme pour l'appelante, de prendre en compte les besoins courants pour l'entretien de l'intimé au-delà du minimum vital issu du droit des poursuites. Par conséquent, il convient de retenir un montant de 1'500 fr. par mois à ce titre, de sorte que les charges mensuelles de l'intimé s'élèvent à 12'645 fr. 25 au total.</w:t>
      </w:r>
    </w:p>
    <w:p>
      <w:r>
        <w:rPr>
          <w:b/>
        </w:rPr>
        <w:t>E. 7</w:t>
      </w:r>
    </w:p>
    <w:p>
      <w:r>
        <w:t>a) Dans le cadre des mesures provisionnelles, si le juge peut distinguer une pension pour un époux et une pension pour chacun des enfants mineurs,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Code civil I, n. 18 ad. art. 137 CC, note infrapaginale 57, p. 1016; Juge délégué CACI 30 mars 2011/40 et 20 octobre 2011/307). b) En l'espèce, les charges de l'appelante s'élèvent à 13'456 fr. par mois. L'intéressée perçoit un salaire mensuel moyen de 2'977 fr. 30, que l'on peut arrondir à 3'000 fr., qui vient en déduction de ses charges et en ramène le montant à 10'456 francs. Le revenu effectif de l'intimé, par 31'300 fr., couvre les charges mensuelles issues des ménages des parties, par 23'101 fr. 25 au total (12'645 fr. 25 + 10'456 fr.), en laissant à l'intimé une part disponible pour l'entretien d'immeubles et l'épargne de 8'198 fr. 75. Cela étant, pour couvrir son déficit mensuel, l'appelante a droit au versement par l'intimé d'une contribution d'entretien de 10'000 fr. en chiffres ronds. c)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Commentaire Romand, n. 10 ad art. 173 CC). L'effet rétroactif ne se justifie que si l'entretien dû n'a pas été assumé en nature ou en espèces ou dès qu'il a cessé de l'être (TF 5A_909/2010 du 4 avril 2011 c. 6.2.; TF 5A_591/2011 du 7 décembre 2011 c. 5.2). La rétroactivité à une date antérieure au dépôt de la requête de mesures provisoires ne se justifie que s'il existe des motifs particuliers (TF 5A_485/ 2008 du 1 er décembre 2008 c. 2.2; ATF 111 II 103 c. 4). Un engagement de l'époux d'informer immédiatement son épouse des modifications de sa situation financière constitue une telle circonstance (Juge délégué CACI 24 mai 2011/90). Au surplus, même si la requête de mesures provisoires est déposée moins d'un an après l'ouverture d'action en divorce, elle peut aboutir à l'allocation de contributions pour une période où cette procédure n'avait pas encore été introduite, pour autant que le juge des mesures protectrices de l'union conjugale n'ait pas été saisi au sujet de la même période (Tappy, Commentaire Romand, n. 23 ad art. 137 CC; ATF 129 III 60, JT 2003 I 45). Vu la maxime d'office applicable en présence d'enfants, il n'est pas arbitraire de retenir que les contributions de mesures protectrices sont dues à compter du jour du dépôt de la requête, lorsque les parties ne précisent pas la date à partir de laquelle les contributions sont réclamées (TF 5A_765/2010 du 17 mars 2010 c. 4.1, RMA 2011 p. 300; TF 5A_475/2011 du 12 décembre 2011 c. 7.2.1). N'est pas arbitraire la fixation du dies a quo au premier jour du mois le plus proche de la séparation effective des parties (TF 5A_508/2011 du 21 novembre 2011 c. 4.2.6) En l'occurrence, comme dans sa requête de mesures protectrices de l'union conjugale du 27 juin 2011, l'appelante a pris des conclusions tendant au versement d'une contribution d'entretien payable dès le 1 er janvier 2011. Dans le prononcé du 11 novembre 2011 entrepris, le premier juge a dit que la contribution d'entretien était due dès et y compris le 1 er novembre 2011. Dans la mesure où l'intimé a assumé l'entretien des siens, il ne se justifie pas d'assortir la contribution d'un effet rétroactif. Le dies a quo de l'obligation d'entretien à la charge de l'intéressé doit ainsi être fixé au 1 er juillet 2011, premier jour du mois suivant le dépôt de la requête de mesures protectrices de l'union conjugale.</w:t>
      </w:r>
    </w:p>
    <w:p>
      <w:r>
        <w:rPr>
          <w:b/>
        </w:rPr>
        <w:t>E. 8</w:t>
      </w:r>
    </w:p>
    <w:p>
      <w:r>
        <w:t>En conclusion, l'appel doit être partiellement admis et le prononcé entrepris réformé dans le sens des considérants qui précèdent. Les frais judiciaires de deuxième instance, arrêtés à 1'000 fr. (art. 65 al. 3 TFJC [tarif des frais judiciaires civils du 28 septembre 2010; RSV 270.11.5]), sont mis à la charge de l'intimé qui succombe pour l'essentiel (art. 106 al. 1 CPC). L'intimé doit verser à l'appelante, qui obtient gain de cause pour l'essentiel, la somme de 3'500 fr. à titre de dépens et de restitution d'avance de frais de deuxième instance (art. 2, 3 et 7 TDC [tarif des dépens en matière civile du 23 novembre 2010; RSV 270.11.6]). Par ces motifs, le juge délégué de la Cour d'appel civile du Tribunal cantonal, statuant à huis clos, prononce : I. L'appel est partiellement admis. II. Le prononcé est réformé au chiffre I de son dispositif comme il suit : I. dit que B.N.________ contribuera à l'entretien des siens par le régulier versement d'une pension de 10'000 fr. (dix mille francs), éventuelles allocations familiales non comprises et dues en sus, payable d'avance le premier de chaque mois en mains de A.N.________, dès et y compris le 1 er juillet 2011; Le prononcé est confirmé pour le surplus. III. Les frais judiciaires de deuxième instance, arrêtés à 1'000 fr. (mille francs), sont mis à la charge de l'intimé. IV. L'intimé B.N.________ doit verser à l'appelante A.N.________ la somme de 3'500 fr. (trois mille cinq cents francs), à titre de dépens et de restitution d'avance de frais de deuxième instance. V. L'arrêt est exécutoire. Le juge délégué : Le greffier : Du L'arrêt qui précède, dont la rédaction a été approuvée à huis clos, est notifié en expédition complète, par l'envoi de photocopies à : ‑ Me Violaine Jaccottet Sherif (pour A.N.________), ‑ Me Christine Marti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