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140 vom 22. Februar 2012</w:t>
      </w:r>
    </w:p>
    <w:p>
      <w:r>
        <w:t>VD Tribunal cantonal, 2012-02-22, FR</w:t>
      </w:r>
    </w:p>
    <w:p>
      <w:r>
        <w:rPr>
          <w:b/>
        </w:rPr>
        <w:t xml:space="preserve">Quelle: </w:t>
      </w:r>
      <w:r>
        <w:t>https://mcp.opencaselaw.ch/entscheid/vd_findinfo_HC___2012___140</w:t>
      </w:r>
    </w:p>
    <w:p>
      <w:r>
        <w:t>FR: VD_FINDINFO HC / 2012 / 140 du 22 février 2012</w:t>
      </w:r>
    </w:p>
    <w:p>
      <w:r>
        <w:t>IT: VD_FINDINFO HC / 2012 / 140 del 22 febbraio 2012</w:t>
      </w:r>
    </w:p>
    <w:p>
      <w:pPr>
        <w:pStyle w:val="Heading2"/>
      </w:pPr>
      <w:r>
        <w:t>Regeste</w:t>
      </w:r>
    </w:p>
    <w:p>
      <w:r>
        <w:t>AVOCAT D'OFFICE, INDEMNITÉ{EN GÉNÉRAL}, INTERDICTION DE L'ARBITRAIRE | 9 Cst., 122 al. 1 let. a CPC (CH), 2 al. 1 RAJ</w:t>
      </w:r>
    </w:p>
    <w:p>
      <w:pPr>
        <w:pStyle w:val="Heading2"/>
      </w:pPr>
      <w:r>
        <w:t>Erwägungen</w:t>
      </w:r>
    </w:p>
    <w:p>
      <w:r>
        <w:rPr>
          <w:b/>
        </w:rPr>
        <w:t>E. 4</w:t>
      </w:r>
    </w:p>
    <w:p>
      <w:r>
        <w:t>En conclusion, le recours doit être rejeté en application de l'art. 322 al. 1 CPC et la décision confirmée. Vu l'issue du recours, les frais judiciaires de deuxième instance, arrêtés à 100 fr. (art. 69 et 70 al. 3 TFJC [tarif du 28 septembre 2010 des frais judiciaires civils ; RSV 270.11.5]), sont mis à la charge de la recourante (art. 106 al. 1 CPC). Il n'y pas lieu d'allouer de dépens de deuxième instance, l'intimé n'ayant pas été invité à se déterminer.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J.________. IV. Il n'est pas alloué de dépens de deuxième instance. V. L'arrêt motivé est exécutoire. Le président :               Le greffier : Du 23 février 2012 Le dispositif de l'arrêt qui précède est communiqué par écrit aux intéressés. Le greffier : Du L'arrêt qui précède, dont la rédaction a été approuvée à huis clos, est notifié en expédition complète, par l'envoi de photocopies, à : ‑ Me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