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129 vom 25. Januar 2012</w:t>
      </w:r>
    </w:p>
    <w:p>
      <w:r>
        <w:t>VD Tribunal cantonal, 2012-01-25, FR</w:t>
      </w:r>
    </w:p>
    <w:p>
      <w:r>
        <w:rPr>
          <w:b/>
        </w:rPr>
        <w:t xml:space="preserve">Quelle: </w:t>
      </w:r>
      <w:r>
        <w:t>https://mcp.opencaselaw.ch/entscheid/vd_findinfo_HC___2012___129</w:t>
      </w:r>
    </w:p>
    <w:p>
      <w:r>
        <w:t>FR: VD_FINDINFO HC / 2012 / 129 du 25 janvier 2012</w:t>
      </w:r>
    </w:p>
    <w:p>
      <w:r>
        <w:t>IT: VD_FINDINFO HC / 2012 / 129 del 25 gennaio 2012</w:t>
      </w:r>
    </w:p>
    <w:p>
      <w:pPr>
        <w:pStyle w:val="Heading2"/>
      </w:pPr>
      <w:r>
        <w:t>Regeste</w:t>
      </w:r>
    </w:p>
    <w:p>
      <w:r>
        <w:t>AVANCE DE FRAIS | 91 al. 1 CPC (CH), 91 al. 2 CPC (CH), 23 al. 1 TFJC (2010)</w:t>
      </w:r>
    </w:p>
    <w:p>
      <w:pPr>
        <w:pStyle w:val="Heading2"/>
      </w:pPr>
      <w:r>
        <w:t>Erwägungen</w:t>
      </w:r>
    </w:p>
    <w:p>
      <w:r>
        <w:rPr>
          <w:b/>
        </w:rPr>
        <w:t>E. 1</w:t>
      </w:r>
    </w:p>
    <w:p>
      <w:r>
        <w:t>a) Les décisions relatives aux avances de frais peuvent faire l’objet d’un recours au sens de l'art. 319 let. b ch. 1 CPC (Code de procédure civile du 19 décembre 2008; RS 272), dès lors que la loi le prévoit expressément (art. 103 CPC). b) Les décisions qui fixent les avances de frais au sens de l'art. 103 CPC comptent parmi les "ordonnances d’instruction" visées par l'art. 319 let. b CPC (Jeandin, CPC commenté, Bâle 2011, n. 14 ad art. 319 CPC, p. 1272). Le recours, écrit et motivé, doit par conséquent être introduit dans les dix jours à compter de la notification de la décision motivée auprès de l'instance de recours (321 al. 1 et 2 CPC), soit, en l'occurrence, la Chambre des recours civile (art. 73 al. 1 LOJV [Loi d'organisation judiciaire du 12 décembre 1979; 173.01]). c) Formé en temps utile, par une partie qui y a un intérêt digne de protection (art. 59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 En l'espèce, il y a lieu d'admettre que la Cour de céans peut fixer le montant de l'avance de frais de première instance.</w:t>
      </w:r>
    </w:p>
    <w:p>
      <w:r>
        <w:rPr>
          <w:b/>
        </w:rPr>
        <w:t>E. 3</w:t>
      </w:r>
    </w:p>
    <w:p>
      <w:r>
        <w:t>a) Les recourants reprochent au premier juge d'avoir estimé la valeur du litige à un montant compris entre 30'001 et 100'000 francs. Se référant à un devis établi par l'entreprise de génie civil [...], évaluant le coût des travaux de réfection de la bordure litigieuse à un montant de 3'067 fr. 20, ils font valoir que la valeur litigieuse ne saurait excéder le montant de 30'000 francs. b)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Cette disposition s'en remet ainsi d'abord aux parties et ce n'est que si celles-ci n'arrivent pas à s'entendre sur ce point ou si la valeur qu'elles avancent est manifestement erronée que le tribunal détermine lui-même la valeur litigieuse (Tappy, CPC commenté, Bâle 2011, n. 42 ad art. 91 CPC, p. 318). c) Par courrier du 9 septembre 2011, les recourants ont précisé au premier juge que la diminution de la valeur de leur fonds correspondrait vraisemblablement aux frais de remise en état des bordures et ont chiffré ces frais à un montant de l'ordre de 3'000 fr. en se référant à une expertise privée produite dans le cadre d'une autre procédure concernant la même affaire. De leur côté, et se fondant sur la même expertise, les intimés ont indiqué par courrier du 3 octobre 2011 au premier juge que la valeur litigieuse n'excédait pas 10'000 fr., si bien que seul le juge de paix serait compétent. On relève d'emblée que ce point de vue ne peut être suivi, le président du tribunal d'arrondissement étant compétent pour les actions possessoires (art. 6 al. 1 ch. 55 CDPJ [Code de droit privé judiciaire vaudois du 12 janvier 2010; RS 211.02]). Quoi qu'il en soit, on constate, non seulement, qu'aucune des parties n'a allégué que la valeur de la cause dépasserait 30'000 francs, mais surtout, que la détermination de la valeur litigieuse telle que suggérée par les recourants est conforme à la jurisprudence fédérale, selon laquelle en matière d'action en cessation de trouble, la valeur litigieuse se détermine selon l'intérêt du demandeur à l'admission de ses conclusions, voire, s'il est plus élevé, selon l'intérêt du défendeur au rejet des conclusions de la demande (TF 5A_791/2008 du 10 juin 2009 c. 1 et les références citées). En l'espèce, l'intérêt des recourants à l'exécution des travaux nécessaires à la remise en l'état antérieur des bordures litigieuses, à la canalisation de l'eau s'écoulant sur le chemin en direction de leur propriété et à la prévention de tous déplacements et déformations futurs de ces bordures est manifestement inférieur à 30'000 francs. Cela ressort, d'une part, de l'expertise privée invoquée par les parties, selon laquelle le coût des travaux avoisinerait les 3'000 francs, et, d'autre part, de l'expertise judiciaire établie dans le cadre de la procédure de preuve à futur initiée par les recourants. Selon l'expert judiciaire, le montant des travaux pour un assainissement et une remise en état se situerait entre 3'000 et 4'200 fr. pour la variante minimale et entre 8'200 et 8'800 fr. pour la variante complète. Il s'ensuit que même en tenant compte des aléas de procédure et des dépenses juridiques antérieures au procès, de l'ordre de 10'000 fr., la valeur litigieuse n'atteint pas 30'000 francs. Le moyen des recourants est par conséquent fondé et le recours doit être admis.</w:t>
      </w:r>
    </w:p>
    <w:p>
      <w:r>
        <w:rPr>
          <w:b/>
        </w:rPr>
        <w:t>E. 4</w:t>
      </w:r>
    </w:p>
    <w:p>
      <w:r>
        <w:t>a) L'art. 23 al. 1 TFJC (Tarif des frais judiciaires civils du 28 septembre 2010; RS 270.11.5) prévoit que l'émolument forfaitaire de décision pour une contestation patrimoniale en procédure simplifiée – applicable en l'espèce compte tenu de la valeur du litige inférieure à 30'000 fr. (art. 243 al. 1 CPC) –, dont la valeur litigieuse est comprise entre 10'001 et 30'000 fr., est fixé à 2'100 francs. En requérant des recourants le dépôt de 7'000 fr. à titre d'avance de frais, le premier juge a fait une fausse application du Tarif des frais judiciaires civils, de sorte que la décision doit être réformée en conséquence. Dès lors que l'effet suspensif a été accordé au présent recours, il appartiendra au Président du Tribunal d'arrondissement de La Broye et du Nord vaudois de rendre une nouvelle décision dans le sens des considérants, en impartissant un nouveau délai aux recourants pour effectuer l'avance de frais. b) Les frais judiciaires de deuxième instance sont arrêtés à 200 fr. (art. 69 al. 1 et 70 al. 3 TFJC). Selon l'art. 107 al. 2 CPC, les frais judiciaires qui ne sont pas imputables aux parties ni aux tiers peuvent être mis à la charge du canton si l’équité l’exige. De même que pour l'art. 66 LTF, cela se justifie notamment quand un recours a été nécessaire pour corriger une erreur du premier juge dont on ne saurait tenir l'autre partie pour responsable (Corboz, op. cit., n. 20 ad art. 66 LTF, pp. 491-491, cité par Tappy, op. cit., n. 37 ad art. 107 CPC, pp. 426-427). c) Les intimés ayant déclaré par acte du 20 janvier 2012 qu'ils s'en remettaient à justice, il ne se justifie pas qu'ils supportent des dépens de deuxième instance. Par ces motifs, la Chambre des recours civile du Tribunal cantonal, statuant à huis clos, prononce : I. Le recours est admis. II. La décision de la Présidente du Tribunal de l'arrondissement de La Broye et du Nord vaudois du 24 octobre 2011 est réformée en ce sens que l'avance de frais pour la procédure référencée sous [...] actuellement pendante devant le Tribunal de l'arrondissement de La Broye et du Nord vaudois est fixée à 2'100 fr. (deux mille cent francs). III. La Présidente du Tribunal de l'arrondissement de La Broye et du Nord vaudois est invitée à fixer aux recourants A.B.________ et B.B.________ un nouveau délai pour effectuer le dépôt de l'avance de frais mentionnée sous chiffre II ci-dessus. IV. Les frais judiciaires de deuxième instance, arrêtés à 200 fr. (deux cents francs), sont laissés à la charge de l'Etat. V. Il n'est pas alloué de dépens de deuxième instance. VI. L'arrêt motivé est exécutoire. Le président :               La greffière : Du 27 janvier 2012 Le dispositif de l'arrêt qui précède est communiqué par écrit aux intéressés. La greffière : Du L'arrêt qui précède, dont la rédaction a été approuvée à huis clos, est notifié en expédition complète, par l'envoi de photocopies, à : ‑ M. Christophe Savoy (pour A.B.________ et B.B.________), ‑ Me Marc-Etienne Favre (pour A.C.________ et B.C.________).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