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128 vom 10. Februar 2012</w:t>
      </w:r>
    </w:p>
    <w:p>
      <w:r>
        <w:t>VD Tribunal cantonal, 2012-02-10, FR</w:t>
      </w:r>
    </w:p>
    <w:p>
      <w:r>
        <w:rPr>
          <w:b/>
        </w:rPr>
        <w:t xml:space="preserve">Quelle: </w:t>
      </w:r>
      <w:r>
        <w:t>https://mcp.opencaselaw.ch/entscheid/vd_findinfo_HC___2012___128</w:t>
      </w:r>
    </w:p>
    <w:p>
      <w:r>
        <w:t>FR: VD_FINDINFO HC / 2012 / 128 du 10 février 2012</w:t>
      </w:r>
    </w:p>
    <w:p>
      <w:r>
        <w:t>IT: VD_FINDINFO HC / 2012 / 128 del 10 febbraio 2012</w:t>
      </w:r>
    </w:p>
    <w:p>
      <w:pPr>
        <w:pStyle w:val="Heading2"/>
      </w:pPr>
      <w:r>
        <w:t>Regeste</w:t>
      </w:r>
    </w:p>
    <w:p>
      <w:r>
        <w:t>CRÉANCE, DOMMAGE, BAIL À LOYER | 257d CO</w:t>
      </w:r>
    </w:p>
    <w:p>
      <w:pPr>
        <w:pStyle w:val="Heading2"/>
      </w:pPr>
      <w:r>
        <w:t>Erwägungen</w:t>
      </w:r>
    </w:p>
    <w:p>
      <w:r>
        <w:rPr>
          <w:b/>
        </w:rPr>
        <w:t>E. 1</w:t>
      </w:r>
    </w:p>
    <w:p>
      <w:r>
        <w:t>a) L'ordonnance contestée a été rendue le 4 octobre 2011, de sorte que les voies de droit sont régies par le CPC (Code de procédure civile du 19 décembre 2010; RS 272), entré en vigueur le 1 er janvier 2011 (art. 405 al. 1 CPC). b) Le recourant demande à être libéré de l'obligation de payer la somme de 1'533 francs. La valeur litigieuse étant ainsi inférieure à 10'000 fr., c'est la voie du recours qui est ouverte (art. 308 al. 2 et 319 al. 1 let. a CPC). Formé en temps utile (art. 321 al. 1 CPC) par une partie qui y a intérêt (art. 59 al.</w:t>
      </w:r>
    </w:p>
    <w:p>
      <w:r>
        <w:rPr>
          <w:b/>
        </w:rPr>
        <w:t>E. 2</w:t>
      </w:r>
    </w:p>
    <w:p>
      <w:r>
        <w:t>Le recourant soutient qu'il ne doit pas à l'intimée le montant de 1'533 fr. correspondant au loyer du mois de décembre 2010, dès lors qu'il a été expulsé des locaux commerciaux le 17 novembre 2010. Le locataire qui, comme c'est le cas en l'espèce, a donné lieu, par sa faute, à la rupture prématurée du bail a l'obligation d'indemniser le bailleur pour le dommage qu'il lui a causé. L'indemnité à laquelle le bailleur peut prétendre équivaut aux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Comme il s'agit d'une créance en réparation d'un dommage, il incombe au bailleur d'établir que, malgré de réels efforts, il n'a pas été à même de relouer le logement aussitôt après la résiliation du bail. En d'autres termes, il supporte le fardeau de la preuve de la durée pendant laquelle l'objet remis à bail ne pouvait pas être reloué (ATF 127 III 548 c. 5). En l'espèce, l'objet loué n'a été libéré par le recourant qu'à la fin du mois de novembre 2010. On peut tenir pour établi, sans qu'il soit nécessaire d'exiger de l'intimée qu'elle rapporte la preuve stricte de cette circonstance, qu'il n'était pas possible de relouer les locaux commerciaux en cause pour le début du mois de décembre suivant, au vu du délai très court qui était à sa disposition pour publier une annonce et contrôler la solvabilité d'un éventuel candidat. Le recourant n'établit au surplus pas qu'il aurait proposé un locataire de remplacement disposé à reprendre immédiatement ces locaux. Dans ces conditions, c'est à juste titre que la Commission de conciliation a alloué à l'intimée ses conclusions.</w:t>
      </w:r>
    </w:p>
    <w:p>
      <w:r>
        <w:rPr>
          <w:b/>
        </w:rPr>
        <w:t>E. 3</w:t>
      </w:r>
    </w:p>
    <w:p>
      <w:r>
        <w:t>Vu ce qui précède, le recours doit être rejeté en application de l'art. 322 al. 1 CPC et la décision attaquée confirmée. Les frais judiciaires de deuxième instance sont arrêtés à 100 fr. (art. 62 al. 3 et 69 al. 1 TFJC [tarif des frais judiciaires civils du 28 septembre 2010; RSV 270.11.5]) et mis à la charge du recourant, qui succombe (art. 106 al. 1 CPC). N'ayant pas été invitée à se déterminer, l'intimée n'a pas droit à des dépens. Par ces motifs, la Chambre des recours civile du Tribunal cantonal, statuant à huis clos, en application de l'art. 322 al. 1 CPC, prononce : I. Le recours est rejeté. II. La décision est confirmée. III. Les frais de deuxième instance, arrêtés à 100 fr. (cent francs), sont mis à la charge du recourant R.________. IV. L'arrêt motivé est exécutoire. Le président :               La greffière : Du 13 février 2012 Le dispositif de l'arrêt qui précède est communiqué par écrit aux intéressés. La greffière : Du L'arrêt qui précède, dont la rédaction a été approuvée à huis clos, est notifié en expédition complète, par l'envoi de photocopies, à : ‑ R.________ ‑ S.________ (pour B.________) La Chambre des recours civile considère que la valeur litigieuse est de 1'533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