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122 vom 16. Februar 2012</w:t>
      </w:r>
    </w:p>
    <w:p>
      <w:r>
        <w:t>VD Tribunal cantonal, 2012-02-16, FR</w:t>
      </w:r>
    </w:p>
    <w:p>
      <w:r>
        <w:rPr>
          <w:b/>
        </w:rPr>
        <w:t xml:space="preserve">Quelle: </w:t>
      </w:r>
      <w:r>
        <w:t>https://mcp.opencaselaw.ch/entscheid/vd_findinfo_HC___2012___122</w:t>
      </w:r>
    </w:p>
    <w:p>
      <w:r>
        <w:t>FR: VD_FINDINFO HC / 2012 / 122 du 16 février 2012</w:t>
      </w:r>
    </w:p>
    <w:p>
      <w:r>
        <w:t>IT: VD_FINDINFO HC / 2012 / 122 del 16 febbraio 2012</w:t>
      </w:r>
    </w:p>
    <w:p>
      <w:pPr>
        <w:pStyle w:val="Heading2"/>
      </w:pPr>
      <w:r>
        <w:t>Regeste</w:t>
      </w:r>
    </w:p>
    <w:p>
      <w:r>
        <w:t>VENTE MOBILIÈRE, APPRÉCIATION DES PREUVES, CONDITION RÉSOLUTOIRE | 319 let. a CPC (CH), 320 CPC (CH), 326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le 10 juin 2011 aux parties de sorte que les voies de droit sont régies par le CPC. b) Sont notamment attaquables par la voie de l'appel les décisions finales et les décisions incidentes de première instance dans les causes non patrimoniales (art. 308 al. 1 er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valeur litigieuse est inférieure à 10'000 fr. de sorte que seule la voie subsidiaire du recours au sens de l'art. 319 let. a CPC est ouverte. c) Le recours, écrit et motivé, s'exerce dans un délai de 30 jours à compter de la notification de la décision motivée ou de la notification postérieure de la motivation; il est de dix jours pour les décisions prises en procédure sommaire et les ordonnances d'instruction (art. 321 al. 1 et 2 CPC). Le jugement attaqué a été rendu dans le cadre d'une cause soumise à la procédure ordinaire de l'ancien droit de sorte que le délai de recours est de 30 jours. Invité à compléter ses conclusions initiales qui ne tendaient qu'à l'annulation et qui étaient par conséquent irrecevables (Jeandin, CPC commenté, n. 5 ad art. 321 CPC), le recourant a conclu à être libéré de toute demande pécuniaire, formulation assimilable à des conclusions libératoires. Formé en temps utile par une partie qui y a intérêt (art. 59 al. 2 let. a CPC), le recours est formellement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en procédure de recours (art. 326 CPC). En l'espèce, le recourant a produit un lot de pièces. Ces pièces consistent en huit courriers électroniques échangés entre le recourant et l'intimé les 8, 10, 11, 12, 13 à 21 h. 57 et 22 h. 43, 17 et 19 juin 2010. Les courriers des 13 juin à 21 h. 57, 17 juin et 19 juin 2010 n'ont pas été produits en première instance; ils sont à ce titre irrecevables. Pour le surplus, il s'agit de pièces déjà produites en première instance de sorte qu'il n'y a pas lieu de les considérer comme preuves nouvelles.</w:t>
      </w:r>
    </w:p>
    <w:p>
      <w:r>
        <w:rPr>
          <w:b/>
        </w:rPr>
        <w:t>E. 3</w:t>
      </w:r>
    </w:p>
    <w:p>
      <w:r>
        <w:t>a) Le recourant invoque une violation du droit. Il persiste à soutenir en deuxième instance que le contrat de vente qu'il a conclu avec l'intimé ne saurait être qualifié, comme l'a fait le premier juge, de contrat de vente ordinaire. Il soutient qu'il a conclu une vente à l'essai, soumise en outre à la condition que l'intimé n'offre pas ses produits à des prix plus bas à des tiers. Il se réfère, sans autre précision, à trois courriers électroniques envoyés à l'intimé et reproduit notamment des extraits de l'un de ces courriels, en réalité celui du 13 juin 2010, qui établiraient selon lui les circonstances de l'accord et sa volonté de résoudre le contrat qu'il estime conditionnel. A cet égard, il fait valoir qu'en ne prenant pas en considération ce courriel, qui indiquerait de manière détaillée les conditions de l'accord et en quoi ce dernier aurait été violé, le premier juge aurait constaté les faits de manière inexacte et incomplète. Dans son acte de recours complémentaire, il affirme encore avoir conclu ledit contrat sous l'empire d'une erreur essentielle au sens de l'art. 24 al. 3 CO (Code des obligations du 30 mars 1911, RS 220), dès lors qu'il ignorait que l'intimé avait vendu ses produits à des concurrents, de surcroît à des prix plus bas. On peut douter de la recevabilité de ce dernier moyen, dès lors que le Président de la cour de céans a invité le recourant à compléter uniquement ses conclusions. Peu importe en définitive, comme on le verra ci-après. b) Le recourant fonde essentiellement sur une pièce irrecevable sa démonstration selon laquelle les parties auraient convenu de soumettre la vente à des conditions résolutoires. Au surplus, on relève que ces courriels, dans lesquels il expose unilatéralement sa version des faits, sont postérieurs à la conclusion du contrat, de sorte qu'ils sont dépourvus de toute valeur probante non seulement en raison de leur auteur, mais également en ce qui concerne les circonstances de la vente et la volonté communément exprimée par les parties à cette occasion. C'est donc à raison que le premier juge a considéré que le défendeur n'avait pas établi que les parties étaient convenues de soumettre la vente à des conditions particulières et qu'il fallait considérer la vente comme une vente ferme. Le recourant soutient donc à tort que le premier juge n'a pas pris en compte sa version. Celui-ci a en réalité examiné les allégations du défendeur mais a considéré, après une appréciation des preuves - notamment des témoignages de proches - que les circonstances de la vente, telles qu'évoquées par le défendeur, n'étaient pas établies. Le recourant se borne à opposer à nouveau sa propre version à celle retenue dans le jugement attaqué, ce qu'il ne peut pas faire. En vertu du pouvoir de cognition limité de la Chambre des recours, tel que défini ci-dessus, le recourant devait démontrer en quoi les constatations de fait de la juridiction de première instance pouvaient apparaître arbitraires, c'est-à-dire manifestement inexactes, démonstration qu'il n'entreprend même pas, si ce n'est par la production d'une pièce irrecevable. Il en va de même de la prétendue erreur essentielle, aucun fait à l'appui d'un tel vice de la volonté n'étant mentionné dans le jugement attaqué. Enfin, à supposer l'appréciation des preuves valablement critiquée par le recourant, celle-ci n'apparaît pas arbitraire, bien au contraire. C'est à juste titre que le premier juge a écarté les témoignages des personnes présentant des liens avec le recourant, pour considérer, à l'encontre de ces témoignages, qu'une vente à l'essai pour des denrées périssables comportant notamment de la viande fraîche était manifestement inhabituelle et en définitive pas prouvée en l'espèce. Mal fondés, ses griefs ne peuvent être que rejetés.</w:t>
      </w:r>
    </w:p>
    <w:p>
      <w:r>
        <w:rPr>
          <w:b/>
        </w:rPr>
        <w:t>E. 4</w:t>
      </w:r>
    </w:p>
    <w:p>
      <w:r>
        <w:t>En définitive, le recours, manifestement infondé, doit être rejeté dans la procédure de l'art. 322. al. 1 CPC et le jugement confirmé. Les frais judiciaires de deuxième instance sont arrêtés à 400 fr. (art. 69 al. 1 TFJC [tarif des frais judiciaires civils du 28 septembre 2010; RSV 211.02.03) et mis à la charge du recourant qui succombe (art. 106 al. 1 CPC). Il n'y a pas lieu à l'allocation de dépens de deuxième instance, l'intimé n'ayant pas été invité à se déterminer. Par ces motifs, la Chambre des recours civile du Tribunal cantonal, statuant à huis clos, en application de l'art. 322 al. 1 CPC, prononce : I. Le recours est rejeté. II. Le jugement est confirmé. III. Les frais judiciaires de deuxième instance, par 400 fr. (quatre cents francs), sont mis à la charge du recourant S.________. IV.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 S.________, ‑ Mme Martine Schlaeppi (pour Z.________). La Chambre des recours civile considère que la valeur litigieuse est de 5'102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