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121 vom 2. Februar 2012</w:t>
      </w:r>
    </w:p>
    <w:p>
      <w:r>
        <w:t>VD Tribunal cantonal, 2012-02-02, FR</w:t>
      </w:r>
    </w:p>
    <w:p>
      <w:r>
        <w:rPr>
          <w:b/>
        </w:rPr>
        <w:t xml:space="preserve">Quelle: </w:t>
      </w:r>
      <w:r>
        <w:t>https://mcp.opencaselaw.ch/entscheid/vd_findinfo_HC___2012___121</w:t>
      </w:r>
    </w:p>
    <w:p>
      <w:r>
        <w:t>FR: VD_FINDINFO HC / 2012 / 121 du 2 février 2012</w:t>
      </w:r>
    </w:p>
    <w:p>
      <w:r>
        <w:t>IT: VD_FINDINFO HC / 2012 / 121 del 2 febbraio 2012</w:t>
      </w:r>
    </w:p>
    <w:p>
      <w:pPr>
        <w:pStyle w:val="Heading2"/>
      </w:pPr>
      <w:r>
        <w:t>Regeste</w:t>
      </w:r>
    </w:p>
    <w:p>
      <w:r>
        <w:t>FRAIS D'EXPERTISE, EXPERTISE | 242 al. 1 CPC, 242 CPC, 184 al. 3 CPC (CH)</w:t>
      </w:r>
    </w:p>
    <w:p>
      <w:pPr>
        <w:pStyle w:val="Heading2"/>
      </w:pPr>
      <w:r>
        <w:t>Erwägungen</w:t>
      </w:r>
    </w:p>
    <w:p>
      <w:r>
        <w:rPr>
          <w:b/>
        </w:rPr>
        <w:t>E. 1</w:t>
      </w:r>
    </w:p>
    <w:p>
      <w:r>
        <w:t>a) Le prononcé attaqué a été rendu le 20 décembre 2011, de sorte que les voies de droit sont régies par le CPC (Code de procédure civile suisse du 19 décembre 2008, RS 272), entré en vigueur le 1 er janvier 2011 (art. 405 al. 1 CPC ; ATF 137 III 127 ; ATF 137 III 130 ; Tappy, in CPC commenté, Bâle 2011, nn. 5 ss ad art. 405 CPC). Cela étant, dès lors que la procédure au fond était en cours au 1 er janvier 2011, les règles applicables à la fixation des frais d’expertise sont celles de l’ancien droit de procédure cantonal (art. 404 al. 1 CPC), en particulier l’art. 242 al. 1 CPC-VD (Code de procédure civile vaudoise du 14 décembre 1966) et les dispositions de l’aTFJC (Tarif des frais judiciaires en matière civile du 4 décembre 1984), ce tarif étant applicable dès lors que les frais d’expertise constituent des débours (art.</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w:t>
      </w:r>
    </w:p>
    <w:p>
      <w:r>
        <w:rPr>
          <w:b/>
        </w:rPr>
        <w:t>E. 3</w:t>
      </w:r>
    </w:p>
    <w:p>
      <w:r>
        <w:t>a) Le recourant reproche au premier juge d’avoir arbitrairement réduit sa note d’honoraires relative au complément d’expertise qu’il a été amené à établir, en méconnaissance du dossier et sans mesurer valablement l’ampleur du travail qu’il a accompli. Il soutient d’abord que c’est à tort que le premier juge a retenu qu’il n’avait pas eu besoin de prendre à nouveau connaissance de l’ensemble du dossier, au motif qu’il avait déjà établi un premier rapport d’expertise et que le dossier lui était par conséquent connu. Se fondant sur des notes de travail qu’il aurait jointes à son recours, le recourant prétend ensuite que sa facture est fondée. Enfin, le recourant fait valoir que, dans la mesure où toutes les opérations étaient « interdépendantes », il lui a fallu beaucoup de temps pour réexaminer les réponses de l’expertise, les confronter aux éléments recueillis dans le cadre du complément d’expertise, en faire la synthèse et répondre aux questions complémentaires de la nouvelle mission. b) Aux termes de l’art. 242 al. 1 CPC-VD, l’expert a droit au remboursement de ses frais et à des honoraires fixés par le juge qui a dirigé l’instruction. Selon la jurisprudence vaudoise, rendue sous l’empire du CPC-VD,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30 décembre 2010/69 ; Pdt TC 22 juin 2009/21 et les réf. citées ). Une note d'honoraires peut être réduite par le juge si elle est manifestement exagérée (Bettex, L’expertise judiciaire, Berne 2006, p. 292).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9 avril 2010/16 ; Pdt TC 13 mars 2007/7 ; Pdt TC 7 juin 2006/22 ; Pdt TC 10 février 2005/10 et les réf. citées). c) En l’espèce, c’est à juste titre que le premier juge a retenu que l’expert n’avait pas eu besoin de prendre à nouveau connaissance de l’ensemble du dossier, dès lors qu’il avait déjà établi un premier rapport d’expertise et que le dossier lui était par conséquent connu. Il apparaît en effet que le recourant a déjà consacré près de 300 heures à la mission concernant le premier rapport, de sorte que le temps consacré pour prendre connaissance du dossier dans le cadre de l’expertise complémentaire, à raison de 31 heures, était manifestement excessif et qu’il y avait lieu de réduire les honoraires de l’expert pour ce motif. Par ailleurs, c’est en vain que le recourant se fonde sur ses notes de travail, prétendument produites à l’appui de son recours, pour démontrer que sa facture serait fondée. Ces notes n’ont en effet pas été annexées à son recours, contrairement à la mention figurant au pied des conclusions, et, quand bien même elles l’auraient été, elles seraient irrecevables en application de l’art. 326 al. 1 CPC. Pour le surplus, il sied d’observer que le premier juge a examiné longuement, en pages 5 à</w:t>
      </w:r>
    </w:p>
    <w:p>
      <w:r>
        <w:rPr>
          <w:b/>
        </w:rPr>
        <w:t>E. 7</w:t>
      </w:r>
    </w:p>
    <w:p>
      <w:r>
        <w:t>de son prononcé, le travail réellement nécessaire à l’expertise complémentaire et le recourant n’entreprend pas de démontrer en quoi cette analyse serait erronée. Le premier juge a ainsi retenu que la mission complémentaire de l’expert pouvait être résumée en trois points et a estimé, motifs à l’appui, le temps qui pouvait être raisonnablement consacré à l’exercice du mandat. Il a ainsi relevé que le nombre d’heures décomptées par l’expert était non seulement excessif pour prendre connaissance du dossier, mais également pour instruire les questions litigieuses et rédiger le rapport complémentaire. Cette appréciation, amplement et sainement motivée, est convaincante. On ne peut dès lors suivre le recourant lorsqu’il soutient que toutes les heures accomplies auraient dû être facturées. Mal fondé, le moyen doit être rejeté. 4. En définitive, le recours doit être rejeté, en application de l’art. 322 al. 1 CPC, et le prononcé confirmé. Les frais judiciaires de deuxième instance, arrêtés à 483 fr. (art. 69 al. 1 TFJC [Tarif des frais judiciaires civils du 28 septembre 2010, RSV 270.11.5]), sont mis à la charge du recourant qui succombe (art. 106 al. 1 CPC).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par 483 fr. (quatre cent huitante trois francs), sont mis à la charge du recourant R.________ IV. L’arrêt motivé est exécutoire. Le président : Le greffier : Du 3 février 2012 Le dispositif de l'arrêt qui précède est communiqué par écrit aux intéressés. Le greffier : Du L'arrêt qui précède, dont la rédaction a été approuvée à huis clos, est notifié en expédition complète, par l'envoi de photocopies, à : ‑ M. R.________ ‑ Me François Pidoux (pour A.________ SA) - Me Xavier Petremand (pour E.________ et F.________) La Chambre des recours civile considère que la valeur litigieuse est de 18’810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