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116 vom 19. Dezember 2011</w:t>
      </w:r>
    </w:p>
    <w:p>
      <w:r>
        <w:t>VD Tribunal cantonal, 2011-12-19, FR</w:t>
      </w:r>
    </w:p>
    <w:p>
      <w:r>
        <w:rPr>
          <w:b/>
        </w:rPr>
        <w:t xml:space="preserve">Quelle: </w:t>
      </w:r>
      <w:r>
        <w:t>https://mcp.opencaselaw.ch/entscheid/vd_findinfo_HC___2012___116</w:t>
      </w:r>
    </w:p>
    <w:p>
      <w:r>
        <w:t>FR: VD_FINDINFO HC / 2012 / 116 du 19 décembre 2011</w:t>
      </w:r>
    </w:p>
    <w:p>
      <w:r>
        <w:t>IT: VD_FINDINFO HC / 2012 / 116 del 19 dicembre 2011</w:t>
      </w:r>
    </w:p>
    <w:p>
      <w:pPr>
        <w:pStyle w:val="Heading2"/>
      </w:pPr>
      <w:r>
        <w:t>Regeste</w:t>
      </w:r>
    </w:p>
    <w:p>
      <w:r>
        <w:t>VICE DU CONSENTEMENT, TRANSACTION JUDICIAIRE, VOIE DE DROIT, QUALITÉ DE PARTIE, CONDITION DE RECEVABILITÉ | 76 al. 1 LTF, 241 al. 2 CPC (CH), 312 al. 1 CPC (CH), 328 al. 1 let. c CPC (CH), 59 al. 2 CPC (CH)</w:t>
      </w:r>
    </w:p>
    <w:p>
      <w:pPr>
        <w:pStyle w:val="Heading2"/>
      </w:pPr>
      <w:r>
        <w:t>Erwägungen</w:t>
      </w:r>
    </w:p>
    <w:p>
      <w:r>
        <w:rPr>
          <w:b/>
        </w:rPr>
        <w:t>E. 1</w:t>
      </w:r>
    </w:p>
    <w:p>
      <w:r>
        <w:t>let. c CPC serait ainsi ouverte contre une telle transaction. En revanche, lorsque le juge ratifie une convention (p. ex. en matière de droit de famille, art. 279 CPC), celle-ci perd son caractère purement contractuel et la voie de l'appel est ouverte. Tel est par exemple le cas lorsqu'une partie apprend une cause d'invalidité de la convention ratifiée après la décision de première instance, alors que celle-ci n'est pas encore exécutoire (JT 2011 III 183). En l'espèce, on ne se trouve pas, s'agissant de prétentions pécuniaires, dans un cas où le premier juge pouvait ratifier la convention. Sa "ratification" pour valoir jugement au fond doit se comprendre comme le fait de prendre acte de la transaction pour valoir jugement et rayer la cause du rôle. Dans un tel cas, Tappy estime que l'appel est recevable contre la décision ordonnant de rayer la cause du rôle. Cette voie de droit ne permettrait cependant que des griefs limités, l'appelant pouvant seulement invoquer le fait que les conditions d'une telle radiation n'auraient pas dû être tenues pour réunies (Tappy, op. cit., n. 38 ad art. 241 CPC). Tel pourrait être le cas si une partie fait valoir qu'une radiation complète du rôle est intervenue à tort parce qu'un acte valide en soi ne mettait en réalité fin qu'à une partie du litige (ibidem, n. 39 ad art. 241 CPC) ou que le juge n'a pas effectué de contrôle formel sur le fait que l'on se trouvait véritablement en présence d'une transaction signée par des représentants ayant les qualités nécessaires et portant sur des droits librement disponibles (ibidem, n. 36 ad art. 241 CPC; cf. en droit vaudois antérieur JT 1998 III 82). Tappy admet pour le reste que, si une partie veut soulever des griefs matériels touchant à l'invalidité de la transaction, il doit le faire non en appelant ou en recourant, mais par une procédure de révision selon l'art. 328 al. 1 let. c CPC (Tappy, op. cit., nn. 31 et 37 ad art. 241 CPC). La doctrine majoritaire, qui s'appuie sur le Message du Conseil fédéral relatif au CPC (FF 2006 p. 6987), considère pour sa part que l'ordre de rayer la cause du rôle n'est jamais lui-même susceptible d'un appel (Leumann Liebster, in Sutter-Somm/ Hasenböhler/Leuenberger, Kommentar zur Schweizerischen Zivilprozessordnung, Zurich-Bâle-Genève 2010, n. 27 ad art. 241 CPC; Oberhammer, Basler Kommentar, Schweizerische Zivilprozessordnung, Bâle 2010, n. 6 ad art. 241 CPC; Kriech, in Brunner/Gasser/Schwander, Schweizerische Zivilprozessordnung, Zurich–St-Gall 2011, n. 15 ad art. 241 CPC; Naegeli, Schweizerische Zivilprozessordnung Kurzkommentar, Bâle 2010, n. 15 ad art. 241 CPC). En l'espèce, les vices invoqués relèvent pour l'essentiel des vices de droit civil (vices de la volonté, voire dissensus quant au contenu de la convention), de sorte que l'appel est irrecevable sur cette question selon la doctrine unanime, seule la voie de la révision étant ouverte. Au demeurant, à supposer que la voie de l'appel soit ouverte sur le contrôle formel auquel doit procéder le juge, ce qui paraît pour le moins douteux, les moyens soulevés s'avèrent infondés. Rien n'indique en effet que le juge ait méconnu le contrôle formel auquel il doit procéder. Ainsi, il ne fait pas de doute que l'on se trouvait véritablement en présence d'une transaction signée par des représentants ayant les qualités nécessaires et portant sur des droits librement disponibles. L'audience a été suspendue à deux reprises pour permettre les discussions transactionnelles, la deuxième fois pendant près d'une demi-heure. Z.________ a ainsi eu le temps de peser sa décision sur l'opportunité de signer la convention. Le fait que Z.________, respectivement la société qu'il représentait, n'ait pas été assisté et n'était pas partie à la procédure ne fait pas apparaître la convention viciée sur le plan formel : d'une part, des tiers peuvent être partie à une transaction judiciaire, comme il a été exposé plus haut, et d'autre part, il n'existe nulle obligation d'être assisté par un avocat. En outre, Me Antoinette Haldy, conseil assistant L.________ à l'audience du 3 août 2011, était par ailleurs conseil de P.________ SA dans une procédure de mesures provisionnelles alors pendante devant la Cour civile du Tribunal cantonal suite à une requête déposée par O.________ SA contre L.________ et P.________ SA. Quant à la prétendue méconnaissance de Z.________ de la langue française, elle n'est pas établie. Il appartenait ainsi au prénommé, à supposer qu'il ne maîtrise pas la langue française, de se faire traduire la convention s'il avait un doute sur ce point. Or, il n'est pas établi qu'il l'ait fait, ni qu'il ait demandé un délai à cet effet. Au demeurant, une interprète français-allemand était présente aux débats.</w:t>
      </w:r>
    </w:p>
    <w:p>
      <w:r>
        <w:rPr>
          <w:b/>
        </w:rPr>
        <w:t>E. 2</w:t>
      </w:r>
    </w:p>
    <w:p>
      <w:r>
        <w:t>Au vu de ce qui précède, l'appel doit être rejeté en tant qu'il est recevable, en application de l'art. 312 al. 1 CPC. Les frais judiciaires de deuxième instance, arrêtés à 3'000 fr. en équité (art. 6 al. 3 et 62 al. 1 TFJC [tarif du 28 septembre 2010 des frais judiciaires civils; RSV 270.11.5]), sont mis à la charge de l'appelante qui succombe (art. 106 CPC). Il n'y a pas lieu d'allouer de dépens de deuxième instance aux intimés dès lors que ceux-ci n'ont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