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114 vom 19. Januar 2012</w:t>
      </w:r>
    </w:p>
    <w:p>
      <w:r>
        <w:t>VD Tribunal cantonal, 2012-01-19, FR</w:t>
      </w:r>
    </w:p>
    <w:p>
      <w:r>
        <w:rPr>
          <w:b/>
        </w:rPr>
        <w:t xml:space="preserve">Quelle: </w:t>
      </w:r>
      <w:r>
        <w:t>https://mcp.opencaselaw.ch/entscheid/vd_findinfo_HC___2012___114</w:t>
      </w:r>
    </w:p>
    <w:p>
      <w:r>
        <w:t>FR: VD_FINDINFO HC / 2012 / 114 du 19 janvier 2012</w:t>
      </w:r>
    </w:p>
    <w:p>
      <w:r>
        <w:t>IT: VD_FINDINFO HC / 2012 / 114 del 19 gennaio 2012</w:t>
      </w:r>
    </w:p>
    <w:p>
      <w:pPr>
        <w:pStyle w:val="Heading2"/>
      </w:pPr>
      <w:r>
        <w:t>Regeste</w:t>
      </w:r>
    </w:p>
    <w:p>
      <w:r>
        <w:t>MESURE PROVISIONNELLE, DIVORCE, RELATIONS PERSONNELLES, VISITE, LIMITATION{EN GÉNÉRAL} | 273 al. 1 CC</w:t>
      </w:r>
    </w:p>
    <w:p>
      <w:pPr>
        <w:pStyle w:val="Heading2"/>
      </w:pPr>
      <w:r>
        <w:t>Erwägungen</w:t>
      </w:r>
    </w:p>
    <w:p>
      <w:r>
        <w:rPr>
          <w:b/>
        </w:rPr>
        <w:t>E. 1</w:t>
      </w:r>
    </w:p>
    <w:p>
      <w:r>
        <w:t>La voie de l'appel est ouverte contre les ordonnances de mesures provisionnelles rendues dans les causes non patrimoniales (art. 308 al. 1 let. b CPC; Jeandin, CPC Commenté, 2011, n. 19 ad art. 308 CPC, p. 1244). Les mesures provisionnelles étant soumise à la procédure sommaire (art. 248 let. d CPC), le délai d'appel est de dix jours (art. 314 al. 1 CPC). Formé en temps utile par une partie qui y a un intérêt, l'appel est formellement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w:t>
      </w:r>
    </w:p>
    <w:p>
      <w:r>
        <w:rPr>
          <w:b/>
        </w:rPr>
        <w:t>E. 3</w:t>
      </w:r>
    </w:p>
    <w:p>
      <w:r>
        <w:t>L'appelant fait valoir qu'il n'a pu exercer son droit de visite que de manière sporadique jusqu'à présent en raison des tensions avec l'intimée, de l'insalubrité de son ancien appartement et du fait qu'il n'avait pas de véhicule. Il soutient qu'on ne saurait lui reprocher d'avoir refusé de se soumettre à l'expertise du SPJ, dès lors que celle-ci avait été requise par l'intimée et que celle-ci a porté contre lui de fausses accusations et a eu un comportement trouble. Il soutient en conséquence que les restrictions du droit de visite imposées par l'ordonnance attaquée sont disproportionnées. a/aa) Lorsque les époux ont des enfants mineurs, le juge règle les relations personnelles entre le parent non gardien et l’enfant, dans le cadre des mesures provisionnelles, en se basant sur les dispositions régissant les effets de la filiation (art. 273 ss CC, par renvoi des art. 176 al. 3 CC et 276 al. 1 CPC).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La Pratique du droit de la famille [FamPra.ch] 2011 p. 491; ATF 131 III 209 c. 5; 123 III 445 c.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bb)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Conformément au principe de proportionnalité, il importe en outre que cette menace ne puisse être écartée par d'autres mesures appropriées (TF 5A_448/2008 du 2 octobre 2008; TF 5P.131/2006 du 25 août 2006, publié in FamPra.ch 2007 p. 167;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précité; Hegnauer, op. cit.,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FamPra.ch 2008 p. 173). b) Se référant au rapport d'évaluation du SPJ du 4 mai 2010, à l'interrogatoire de l'appelant à l'audience d'appel de mesures protectrices du 24 août 2010 et à l'audience du 7 juin 2011, le premier juge a relevé que l'appelant persistait à ne pas voir ses enfants sous prétexte qu'il ne supportait pas l'idée de les rencontrer dans un lieu surveillé et avait de plus refusé de prendre part activement à l'évaluation menée par le SPJ, lequel n'avait pu dès lors observer les liens qu'il avait avec ses enfants. Son attitude avait eu pour conséquence de rompre tout lien personnel avec ses enfants. Au vu du jeune âge des enfants, il apparaissait dès lors nécessaire que la reprise de contact se fasse en douceur, dans de bonnes conditions et de manière régulière. Dans la mesure où D.E.________ ne connaissait presque pas son père, il était inopportun d'accorder immédiatement un droit de visite usuel à ce dernier. S'agissant de C.E.________, il était important qu'elle puisse avoir une certaine sécurité et régularité dans l'exercice de son droit de visite par son père, afin d'éviter de créer chez elle de vaines attentes. Ces considérations sont adéquates et peuvent être confirmées. Il importe peu que l'appelant dispose actuellement d'un logement et d'une voiture permettant d'aller chercher les enfants. L'instauration, respectivement la réinstauration de relations personnelles entre l'appelant et ses enfants, qui n'ont plus vu leur père depuis presque deux ans, ne peut se faire, dans l'intérêt de ces derniers, que de manière progressive et dans un cadre sécurisé, ce qui est d'autant plus important vu leur jeune âge. Il y a lieu de relever à cet égard que les prononcés de mesures protectrices de l'union conjugale des 27 mai 2009 et 22 juin 2010 ont autorisé l'intimée à vivre séparée de l'appelant et que le droit de visite prévu à l'art. 273 CC ne vise que la relation entre le parent qui n'a pas la garde et l'enfant. L'appelant ne pouvait donc exiger de l'intimée qu'elle soit présente lors de l'exercice de son droit de visite. Comme l'a souligné le premier juge, le droit de visite par l'intermédiaire du Point Rencontre pourrait n'être que transitoire et mis en place le temps nécessaire pour l'appelant de démontrer qu'il est capable d'exercer son droit de visite régulièrement et pour les enfants de se familiariser à la présence de leur père. On doit dès lors réitérer l'injonction faite par le premier juge à l'appelant de respecter le cadre qui lui est fixé pour l'exercice de son droit de visite et de comprendre qu'il s'agit d'une mesure temporaire qui va dans le sens de l'intérêt de ses enfants, ce qui permettra l'élargissement progressif de ce droit. L'appel doit ainsi être rejeté.</w:t>
      </w:r>
    </w:p>
    <w:p>
      <w:r>
        <w:rPr>
          <w:b/>
        </w:rPr>
        <w:t>E. 4</w:t>
      </w:r>
    </w:p>
    <w:p>
      <w:r>
        <w:t>En conclusion, l'appel doit être rejeté en application de l'art. 312 al. 1 CPC et l'ordonnance confirmée. Les frais judiciaires de deuxième instance, fixés à 600 fr. (art. 65 al. 2 TFJC [tarif du 28 septembre 2010 des frais judiciaires en matière civile; RSV 270.11.5), sont, vu le rejet de l'appel, mis à la charge de l'appelant (art. 106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A.E.________. IV. L'arrêt motivé est exécutoire. Le juge délégué : Le greffier : Du 23 janvier 2012 Le dispositif de l'arrêt qui précède est communiqué par écrit aux intéressés. Le greffier : Du L'arrêt qui précède, dont la rédaction a été approuvée à huis clos, est notifié en expédition complète, par l'envoi de photocopies, à : ‑ M. A.E.________, ‑ Me Françoise Trümpy-Waridel (pour B.E.________).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