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96 vom 23. Februar 2011</w:t>
      </w:r>
    </w:p>
    <w:p>
      <w:r>
        <w:t>VD Tribunal cantonal, 2011-02-23, FR</w:t>
      </w:r>
    </w:p>
    <w:p>
      <w:r>
        <w:rPr>
          <w:b/>
        </w:rPr>
        <w:t xml:space="preserve">Quelle: </w:t>
      </w:r>
      <w:r>
        <w:t>https://mcp.opencaselaw.ch/entscheid/vd_findinfo_HC___2011___96</w:t>
      </w:r>
    </w:p>
    <w:p>
      <w:r>
        <w:t>FR: VD_FINDINFO HC / 2011 / 96 du 23 février 2011</w:t>
      </w:r>
    </w:p>
    <w:p>
      <w:r>
        <w:t>IT: VD_FINDINFO HC / 2011 / 96 del 23 febbraio 2011</w:t>
      </w:r>
    </w:p>
    <w:p>
      <w:pPr>
        <w:pStyle w:val="Heading2"/>
      </w:pPr>
      <w:r>
        <w:t>Regeste</w:t>
      </w:r>
    </w:p>
    <w:p>
      <w:r>
        <w:t>OBLIGATION D'ENTRETIEN, CONJOINT | 137 al. 2 CC, 176 al. 1 ch. 1 CC</w:t>
      </w:r>
    </w:p>
    <w:p>
      <w:pPr>
        <w:pStyle w:val="Heading2"/>
      </w:pPr>
      <w:r>
        <w:t>Erwägungen</w:t>
      </w:r>
    </w:p>
    <w:p>
      <w:r>
        <w:rPr>
          <w:b/>
        </w:rPr>
        <w:t>E. 1</w:t>
      </w:r>
    </w:p>
    <w:p>
      <w:r>
        <w:t>L'appel est recevable contre une ordonnance de mesures provisionnelles (art. 308 al. 1 let. b CPC [Code de procédure civile du 19 décembre 2008; RS 272], dans les causes non patrimoniales ou dont la valeur litigieuse est supérieure à 10'000 fr. (art. 308 al. 2 CPC). S'agissant d'une décision portant à la fois sur des conclusions non patrimoniales et patrimoniales pour moins de 10'000 fr., l'appel est recevable pour le tout, par attraction (Tappy, Les voies de droit du nouveau Code de procédure civile, JT 2010 III 126). Les ordonnances de mesures provisionnelles étant régies par la procédure sommaire, selon l'art. 248 let. d CPC (et selon l'art. 271 CPC par renvoi de l'art. 276 CPC pour les procédures matrimoniales), le délai pour l'introduction de l'appel est de dix jours (art. 314 al. 1 CPC). Formé en temps utile par une partie qui y a intérêt et portant sur des conclusions qui, capitalisées selon l'art. 92 al. 2 CPC, sont supérieures à 10'000 fr., le présent 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l'appréciation des faits sur la base des preuves administrées en première instance (Tappy, op. cit., JT 2010 III 135). Le large pouvoir d'examen en fait et en droit ainsi défini s'applique même si la décision attaquée est de nature provisionnelle (Tappy, op. cit., JT 2010 III 136). En l'espèce, l'état de fait est conforme aux pièces du dossier et aux preuves administrées. Il convient toutefois de le compléter comme suit : - Il ressort du certificat de famille au dossier (pièce 1 du bordereau du demandeur du 22 juillet 2009) que le recourant est né le 4 août 1964 et que l'intimée est née le 20 mars 1964. - Le 6 décembre 2006, le Président du tribunal d'arrondissement de la Côte a ratifié, pour valoir prononcé de mesures protectrices de l'union conjugale, une convention selon laquelle les époux s'autorisaient à vivre séparés et s'accordaient à confier la garde de l'enfant à sa mère, le père bénéficiant d'un libre et large droit de visite, réglementé à défaut d'entente, et contribuant à l'entretien des siens à hauteur de 4'330 fr. par mois, allocations familiales et part de bonus annuel (30 %) en sus (pièce</w:t>
      </w:r>
    </w:p>
    <w:p>
      <w:r>
        <w:rPr>
          <w:b/>
        </w:rPr>
        <w:t>E. 3</w:t>
      </w:r>
    </w:p>
    <w:p>
      <w:r>
        <w:t>a) L'appelant prétend qu'un revenu hypothétique doit être imputé à son épouse, qui n'aurait pas droit à une contribution d'entretien pour elle-même mais devrait en verser une pour l'entretien de sa fille. Conformément à l'art. 176 al. 1 ch. 1 CC (Code civil suisse du 10 décembre 1907; RS 210), applicable par analogie aux mesures provisoires (art. 137 al. 2 CC, lequel, bien qu'abrogé au 31 décembre 2010, continue à s'appliquer aux procédures de divorce soumises à l'ancien droit [Tappy, Le droit transitoire applicable lors de l'introduction de la nouvelle procédure unifiée, JT 2010 III 14]), le juge fixe la contribution pécuniaire à verser par l'une des parties à l'autre. Le montant des aliments se détermine en fonction des facultés économiques et des besoins respectifs des époux. Tant que dure le mariage, chacun des conjoints a le droit de participer de la même manière au train de vie antérieur (ATF 119 II 314 c. 4b/aa p. 318). La fixation de la contribution d'entretien ne doit pas anticiper sur la liquidation du régime matrimonial. En cas de situation financière favorable, il convient ainsi de se fonder sur les dépenses indispensables au maintien des conditions de vie antérieures, qui constituent la limite supérieure du doit à l'entretien (ATF 121 I 97 c. 3b p. 100 et les arrêts cités; arrêts 5A_205/2010 c. 4.2.3, publié in: FamPra.ch 2010 p. 894; 5A_515/2008 du 1 er décembre 2008 c. 2.1; 5A_732/2007 du 4 avril 2008 c. 2.2; 5P_138/2001 du 10 juillet 2001 c. 2a/bb, publié in:FamPra.ch 2002 p. 333). C'est au créancier de la contribution d'entretien qu'il incombe de préciser les dépenses nécessaires à son train de vie et de les rendre vraisemblables (ATF 115 II 424 c. 2 p. 425; arrêt 5A_732/2007 précité c. 2.2). Lorsqu'une reprise de la vie commune n'est plus guère envisageable après le dépôt d'une demande de divorce, l'objectif pour le conjoint de reprendre ou d'étendre son activité lucrative et d'assurer ainsi son indépendance financière apparaît déjà important dans le cadre des mesures provisoires de l'art. 137 al. 2 CC; les principes jurisprudentiels sur l'entretien après le divorce peuvent y être pris en compte, par analogie, dans une proportion plus étendue que dans le cadre des mesures de protection de l'union conjugale (ATF 130 III 537 c. 3.2 p. 542; arrêt 5P_189/2002 du 17 juillet 2002, c. 2, publié in: FamPra.ch 2002 p. 836). Un conjoint peut ainsi se voir imputer un revenu hypothétique supérieur à celui qu'il obtient effectivement de son travail, pour autant qu'une augmentation correspondante de revenu soit effectivement possible et qu'elle puisse raisonnablement être exigée de lui. Lorsque la possibilité réelle d'obtenir un revenu supérieur n'existe pas, il faut en faire abstraction. Peu importe, en principe, la raison pour laquelle un époux renonce au revenu supérieur pris en considération: s'il s'abstient par mauvaise volonté ou par négligence ou s'il renonce intentionnellement à réaliser un revenu suffisant pour assurer l'entretien de sa famille, le juge peut tabler sur le revenu que cet époux pourrait réaliser en faisant preuve de bonne volonté (ATF 128 III</w:t>
      </w:r>
    </w:p>
    <w:p>
      <w:r>
        <w:rPr>
          <w:b/>
        </w:rPr>
        <w:t>E. 4</w:t>
      </w:r>
    </w:p>
    <w:p>
      <w:r>
        <w:t>L'appelant a pris une conclusion tendant à ce que la jouissance du domicile conjugal soit attribuée à l'intimée, qui devrait en assumer les charges. Avec le premier juge, il faut considérer qu'un tel aménagement a déjà été adopté par convention de mesures provisionnelles du 18 août 2009 et qu'il n'a pas été contesté par l'intimée, de sorte qu'il perdure sans qu'il soit nécessaire de statuer en mesures provisionnelles à ce sujet.</w:t>
      </w:r>
    </w:p>
    <w:p>
      <w:r>
        <w:rPr>
          <w:b/>
        </w:rPr>
        <w:t>E. 5</w:t>
      </w:r>
    </w:p>
    <w:p>
      <w:r>
        <w:t>Au vu de ce qui précède, l'appel doit être rejeté, en application de l'art. 312 al. 1 CPC, et l'ordonnance confirmée.</w:t>
      </w:r>
    </w:p>
    <w:p>
      <w:r>
        <w:rPr>
          <w:b/>
        </w:rPr>
        <w:t>E. 6</w:t>
      </w:r>
    </w:p>
    <w:p>
      <w:r>
        <w:t>L'appelant, qui succombe, supporte les frais de la présente procédure (art. 106 al. 1 CPC et 65  TFJC [tarif des frais judiciaires civils du 28 septembre 2010; RSV 270.11.5]). Il n'y a pas lieu d'allouer de dépens à l'intimée qui n'a pas été invitée à se déterminer. Par ces motifs, le juge délégué de la Cour d’appel civile du Tribunal cantonal, statuant à huis clos, prononce : I. L’appel est rejeté. II. L'ordonnance est confirmée. III. Les frais judiciaires de deuxième instance, arrêtés à 600 fr. (six cents francs), sont mis à la charge de l'appelant C.________k Veya. IV. L'arrêt motivé est exécutoire. Le juge délégué : Le greffier : Du 23 février 2011 Le dispositif de l'arrêt qui précède est communiqué par écrit aux intéressés. Le greffier : Du L'arrêt qui précède, dont la rédaction a été approuvée à huis clos, est notifié en expédition complète, par l'envoi de photocopies, à : ‑ Me Olivier Flattet (pour C.________k Veya) ‑ Me Anne-Marie Germanier-Jaquinet (pour X.________).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