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91 vom 25. November 2010</w:t>
      </w:r>
    </w:p>
    <w:p>
      <w:r>
        <w:t>VD Tribunal cantonal, 2010-11-25, FR</w:t>
      </w:r>
    </w:p>
    <w:p>
      <w:r>
        <w:rPr>
          <w:b/>
        </w:rPr>
        <w:t xml:space="preserve">Quelle: </w:t>
      </w:r>
      <w:r>
        <w:t>https://mcp.opencaselaw.ch/entscheid/vd_findinfo_HC___2011___91</w:t>
      </w:r>
    </w:p>
    <w:p>
      <w:r>
        <w:t>FR: VD_FINDINFO HC / 2011 / 91 du 25 novembre 2010</w:t>
      </w:r>
    </w:p>
    <w:p>
      <w:r>
        <w:t>IT: VD_FINDINFO HC / 2011 / 91 del 25 novembre 2010</w:t>
      </w:r>
    </w:p>
    <w:p>
      <w:pPr>
        <w:pStyle w:val="Heading2"/>
      </w:pPr>
      <w:r>
        <w:t>Regeste</w:t>
      </w:r>
    </w:p>
    <w:p>
      <w:r>
        <w:t>RÉSILIATION IMMÉDIATE, JUSTE MOTIF, CONTRAT DE TRAVAIL | 337 al. 1 CO, 337 al. 2 CO, 337 al. 3 CO, 337 CO, 343 al. 3 CO, 46 LJT</w:t>
      </w:r>
    </w:p>
    <w:p>
      <w:pPr>
        <w:pStyle w:val="Heading2"/>
      </w:pPr>
      <w:r>
        <w:t>Erwägungen</w:t>
      </w:r>
    </w:p>
    <w:p>
      <w:r>
        <w:rPr>
          <w:b/>
        </w:rPr>
        <w:t>E. 1</w:t>
      </w:r>
    </w:p>
    <w:p>
      <w:r>
        <w:t>Conformément à l'art. 405 al. 1 CPC (Code de procédure civile du 19 décembre 2008; RS 272), les anciennes voies de recours demeurent applicables. a) Le litige qui divise les parties relève du contrat de travail. Il est régi par l'art. 343 CO (Code des obligations du 30 mars 1911; RS 220) et la loi vaudoise du 17 mai 1999 sur la juridiction du travail (ci-après: aLJT; ROLV 1999 p. 164) et relève de la compétence du tribunal de prud'hommes, la valeur litigieuse n'excédant pas 30'000 fr. (art. 2 al. 1 let. a aLJT). L'art. 46 aLJT ouvre la voie du recours en nullité et en réforme contre les jugements rendus par un tribunal de prud'hommes, selon les art. 444, 445 et 451 CPC-VD (Code de procédure civile vaudois du 14 décembre 1966; RSV 270.11). En l'espèce, interjeté en temps utile, le recours, qui tend à la nullité respectivement à la réforme du jugement attaqué, est recevable en la forme. b) Saisie d'un recours en réforme contre un jugement principal rendu par un tribunal de prud'hommes, la Chambre des recours revoit librement la cause en fait et en droit (art. 452 al. 2 CPC-VD, applicable par renvoi de l'art. 46 al. 2 aLJT).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2</w:t>
      </w:r>
    </w:p>
    <w:p>
      <w:r>
        <w:t>La recourante K.________ SA, après avoir commenté l'état de fait, soutient que le refus de l'intimé Q.________ de suivre une formation en cours d'emploi justifiait, au vu de l'avertissement qui lui avait été signifié préalablement, un licenciement immédiat. a) Selon l'art.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Le juge apprécie librement s'il existe de justes motifs (art. 337 al. 3 CO). Il applique les règles du droit et de l'équité (art. 4 CC [Code civil suisse du 10 décembre 1907; RS 210]). A cet effet, il prendra en considération tous les éléments du cas particulier, notamment la position et la responsabilité du travailleur, le type et la durée des rapports contractuels ainsi que la nature et l'importance des manquements (ATF 130 III 28 c. 4.1). b) En l'espèce, il faut considérer avec les premiers juges que le refus de l'intimé Q.________ de suivre une formation en cours d'emploi ne l'empêchait pas d'effectuer normalement son travail, à tout le moins jusqu'à l'échéance d'un délai de congé ordinaire, si bien qu'on ne se trouvait pas dans des circonstances qui, comme prévu à l'art. 337 al. 2 CO, ne permettaient pas d'exiger de l'employeur la continuation des rapports de travail. Il faut également tenir compte de la situation particulière des parties, qui devaient s'adapter à une reprise de commerce, ainsi que du fait que l'intimé Q.________ était un mécanicien expérimenté. On ne saurait dès lors comparer son refus à celui d'un employé refusant d'effectuer certaines tâches lui incombant dans le cours normal de son activité et rendant impossible la poursuite des rapports de travail. C'est ainsi à juste titre que les premiers juges ont nié que les conditions d'un licenciement immédiat fussent réunies. A cela s'ajoute que l'avertissement donné à l'intimé Q.________ laissait un délai de deux jours non seulement pour passer, mais pour réussir le cours SIP, ce qui était insuffisant. Quant au laps de temps avant le congé, il ne pouvait être mis à profit par l'intimé Q.________, puisque celui-ci était en vacances du 25 septembre au 5 octobre 2009, date à laquelle le congé a été donné. Or, l'avertissement doit être donné de telle manière que le travailleur ait le temps de s'y conformer (Favre/Munoz/Tobler, Le contrat de travail, Code annoté, 2 e éd., Lausanne 2010, n. 1.33 ad art. 337 CO; Caruzzo, Le contrat individuel de travail, Zurich/Genève/Bâle 2009, p. 562).</w:t>
      </w:r>
    </w:p>
    <w:p>
      <w:r>
        <w:rPr>
          <w:b/>
        </w:rPr>
        <w:t>E. 3</w:t>
      </w:r>
    </w:p>
    <w:p>
      <w:r>
        <w:t>Au vu de ce qui précède, le recours doit être rejeté en application de l'art. 465 al. 1 CPC-VD et le jugement entrepris confirmé. La valeur litigieuse étant inférieure à 30'000 fr., la procédure est gratuite (art. 343 al. 3 CO, 10 aLJT et 235 aTFJC [Tarif vaudois du 4 décembre 1984 des frais judiciaires en matière civile; ROLV 1984 p. 458]).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25 novembre 2010 Le dispositif de l'arrêt qui précède est communiqué par écrit aux intéressés. Le greffier : Du L'arrêt qui précède, dont la rédaction a été approuvée à huis clos, est notifié en expédition complète, par l'envoi de photocopies, à : ‑ M. Daniel Schwab, aab (pour K.________ SA), ‑ Mme Sylvia Rapaz, Syndicat Unia (pour Q.________), ‑ O.________. La Chambre des recours considère que la valeur litigieuse est de 16'500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