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88 vom 15. November 2010</w:t>
      </w:r>
    </w:p>
    <w:p>
      <w:r>
        <w:t>VD Tribunal cantonal, 2010-11-15, FR</w:t>
      </w:r>
    </w:p>
    <w:p>
      <w:r>
        <w:rPr>
          <w:b/>
        </w:rPr>
        <w:t xml:space="preserve">Quelle: </w:t>
      </w:r>
      <w:r>
        <w:t>https://mcp.opencaselaw.ch/entscheid/vd_findinfo_HC___2011___88</w:t>
      </w:r>
    </w:p>
    <w:p>
      <w:r>
        <w:t>FR: VD_FINDINFO HC / 2011 / 88 du 15 novembre 2010</w:t>
      </w:r>
    </w:p>
    <w:p>
      <w:r>
        <w:t>IT: VD_FINDINFO HC / 2011 / 88 del 15 novembre 2010</w:t>
      </w:r>
    </w:p>
    <w:p>
      <w:pPr>
        <w:pStyle w:val="Heading2"/>
      </w:pPr>
      <w:r>
        <w:t>Regeste</w:t>
      </w:r>
    </w:p>
    <w:p>
      <w:r>
        <w:t>LÉSION CORPORELLE SIMPLE, VOIES DE FAIT, INJURE, VIOLATION DE DOMICILE, TORT MORAL, INTERDICTION DE L'ARBITRAIRE, IN DUBIO PRO REO | 44 CO, 123 CP, 126 CP, 17 CP, 179septies CP, 47 CP, 411 let. h CPP, 411 let. i CPP</w:t>
      </w:r>
    </w:p>
    <w:p>
      <w:pPr>
        <w:pStyle w:val="Heading2"/>
      </w:pPr>
      <w:r>
        <w:t>Erwägungen</w:t>
      </w:r>
    </w:p>
    <w:p>
      <w:r>
        <w:rPr>
          <w:b/>
        </w:rPr>
        <w:t>E. 1</w:t>
      </w:r>
    </w:p>
    <w:p>
      <w:r>
        <w:t>1.1) Le recourant se prévaut tout d'abord du moyen de l'art. 411 let. h CPP. Il voit une lacune, voire une contradiction avec les déclarations faites en cours d'enquête, dans la mesure où le jugement retient que D.________ l'a giflé après que le recourant l'a frappée. 1.2)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10.2 et 11.1 ad art. 411 CPP ; CCASS, 15 mars 2010, n° 115).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 Bersier, op. cit., p. 82 ; Besse-Matile/Abravanel, op. cit., p. 105). 1.3) En l'espèce, le premier juge n'a pas admis les dénégations de D.________, pour le motif que celle-ci avait admis en cours d'enquête avoir giflé le recourant. Comme le reconnaît le recourant, D.________ n'a donné aucune indication chronologique dans son audition. Ainsi, à cet égard déjà, le recourant ne saurait invoquer une contradiction. Au demeurant, le premier juge s'est fondé aussi sur le témoignage de [...], l'amie de D.________. Il a décrit précisément les faits et on ne voit pas où se situerait la lacune. Ce moyen de nullité doit dès lors être rejeté. Il faut ajouter que la chronologie des faits en ce qui concerne le recourant n'a guère d'importance car l'art. 15 CP ne lui est pas applicable compte tenu des circonstances.</w:t>
      </w:r>
    </w:p>
    <w:p>
      <w:r>
        <w:rPr>
          <w:b/>
        </w:rPr>
        <w:t>E. 2</w:t>
      </w:r>
    </w:p>
    <w:p>
      <w:r>
        <w:t>2.1) Le recourant estime que le premier juge n'aurait pas dû retenir le concours idéal entre l'art. 179 septies et les art. 177 et 180 CP (Code pénal suisse du 21 décembre 1937, RS 311.0). Se fondant sur la doctrine (Corboz B., Les infractions en droit suisse, Vol. I, 3 e éd., Berne 2010, N 15 ad. art. 179 septies CP, p. 680), il soutient que lorsqu'une installation de télécommunication est utilisée pour transmettre un message qui constitue lui-même une infraction, seule celle-ci doit être retenue. 2.2) Cette affirmation est exacte. Toutefois, cette même doctrine considère également que "lorsqu'il ne s'agit pas d'un message isolé, mais que l'auteur harcèle sa victime de messages de même nature, on peut dire qu'il met en œuvre la capacité de nuisance spécifique des installations de télécommunication" ; il faut ainsi retenir en concours l'art. 179 septies CP. 2.3) En l'espèce, le premier juge relève (jgt, p. 9) que le recourant a envoyé de nombreux SMS à D.________, soit jusqu'à dix par jour. Dans ces circonstances, c'est à juste titre qu'il a admis le concours entre l'art. 179 septies CP et les art. 177 et 180 CP. Le recours doit dès lors être rejeté sur ce point.</w:t>
      </w:r>
    </w:p>
    <w:p>
      <w:r>
        <w:rPr>
          <w:b/>
        </w:rPr>
        <w:t>E. 3</w:t>
      </w:r>
    </w:p>
    <w:p>
      <w:r>
        <w:t>3.1) Dans un second moyen, le recourant soutient que les hématomes provoqués sur D.________ lors des événements de la nuit du 7 au 8 décembre 2007, ainsi que ceux de la nuit du 30 décembre suivant, doivent être considérés comme des voies de fait et non comme des lésions corporelles simples. 3.2)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2010, n. 1 et 3 ad art. 123 CP). L'art. 123 CP vise en particulier toutes les dégradations du corps humain, que la lésion soit externe ou interne, à la suite d'un choc ou de l'emploi d'un objet, tels les fractures sans complications, les foulures, les coupures et les hématomes (Corboz, op. cit., n. 7 ss ad art. 123 CP ; ATF 119 IV 25 c. 2a ;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l'oeil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 123 CP, mais seulement de voies de fait selon l'art. 126 CP, qui constituent l'atteinte la plus insignifiante au corps humain (ATF 119 IV 25, précité ; ATF 117 IV 14 c. 2a/cc, JT 1993 IV 37). Les voies de fait, réprimées par l'art. 126 CP, se définissent comme des atteintes physiques, même si elles ne causent aucune douleur, qui excèdent ce qui est socialement toléré et qui n’entraînent ni lésions corporelles, ni dommage à la santé (ATF 134 IV 189 consid. 1.2 ; TF 6B_257/2010 du 5 octobre 2010, c. 5.1.2).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 1.3, TF 6B_378/2010 du 15 juillet 2010, c. 1.2).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 1.3 ; ATF 119 IV 25 c. 2a). 3.3) En l'espèce, que ce soit pour la nuit du 7 au 8 décembre 2007 ou pour la nuit du 30 décembre suivant, le premier juge constate que le recourant a provoqué des hématomes à sa victime, après l'avoir saisie violemment par le bras, respectivement après l'avoir tenue fortement par celui-ci. Dès lors, c'est à juste titre que le jugement retient les lésions corporelles et non les voies de fait, même si l'on peut considérer que l'on se trouve dans un cas relativement limite.</w:t>
      </w:r>
    </w:p>
    <w:p>
      <w:r>
        <w:rPr>
          <w:b/>
        </w:rPr>
        <w:t>E. 4</w:t>
      </w:r>
    </w:p>
    <w:p>
      <w:r>
        <w:t>4.1) Le recourant fait valoir ensuite que le premier juge aurait dû retenir l'état de nécessité pour les événements de ces deux nuits (cf. supra, consid. 3). 4.2) Selon l'art. 17 CP, quiconque commet un acte punissable pour préserver d'un danger imminent et impossible à détourner autrement un bien juridique lui appartenant agit de manière licite s'il sauvegarde ainsi des intérêts prépondérants. A la différence de la légitime défense, l'art. 17 CP exige que l'auteur soit menacé d'un danger, notion qui se définit comme un risque d'agression qui est plus éloigné dans le temps qu'en cas d'attaque selon l'art. 15 CP (art. 33 aCP) (ATF 122 IV 1 c. 3a). Un danger est imminent au sens de l'art. 17 CP lorsqu'il n'est ni passé ni futur, c'est-à-dire actuel mais aussi concret (ATF 122 IV 1 précité; ATF 75 IV 49 c. 2). L'exigence d'un danger imminent suppose des indices concrets d'un danger sérieux et immédiat et celui qui prétend s'être trouvé en face d'un tel danger doit prouver l'existence de circonstances propres à le lui faire croire. Le danger encouru est impossible à détourner autrement lorsque l'auteur de l'acte n'a pas d'autre solution pour échapper au danger que de se comporter ainsi qu'il le fait (ATF 75 IV 49 précité c. 3); entre plusieurs moyens de s'y soustraire, dont chacun causerait un préjudice à autrui, l'auteur doit choisir celui qui est le moins dommageable (CCASS, 17 avril 2000, n. 361). 4.3) En l'espèce, on voit mal quel bien juridique appartenant au recourant au sens de l'art. 17 CP, aurait pu être menacé. Il est possible que ce dernier ait entendu soutenir qu'il avait agi en état de légitime défense au sens de l'art. 15 CP ; toutefois, les conditions d'application de cette disposition ne sont à l'évidence par réalisées. Bien plus, cette disposition ne s'applique pas dans la mesure où le recourant a été repoussé par D.________ alors qu'il avait tenté de pénétrer de force dans l'appartement de celle-ci et avait refusé d'en sortir. Le recours en réforme doit être rejeté sur ce point.</w:t>
      </w:r>
    </w:p>
    <w:p>
      <w:r>
        <w:rPr>
          <w:b/>
        </w:rPr>
        <w:t>E. 5</w:t>
      </w:r>
    </w:p>
    <w:p>
      <w:r>
        <w:t>5.1) Le recourant conteste ensuite la quotité de la peine. 5.2)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Cette disposition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136 IV 55 c. 5.6 ; ATF 134 IV 17 c. 2.1 ; TF 6B_626/2010 du 25 novembre 2010 c. 3.1 ; Bovay et alii, op. cit., n. 1.4 ad art. 415 CPP). 5.3) Dans la mesure où le recourant reproche au premier juge de n'avoir pas tenu compte du fait qu'il a empoigné sa victime pour calmer la situation, alors que rien de tel ne ressort du dossier, on ne saurait entrer en matière sur ce point. Pour le surplus et contrairement à ce que soutient le recourant, le premier juge n'a omis aucun critère pertinent. Il a notamment tenu compte du fait que le recourant avait beaucoup souffert de cette relation. Il a également pris en considération que les faits datent de trois ans et que le recourant n'a pas d'antécédents de violence. Il a admis une prise de conscience partielle. A sa charge, le premier juge a retenu que le recourant s'était comporté comme un tyran jaloux et violent et qu'il paraît avoir de la peine à cerner l'inadéquation de son attitude. Le premier juge a également pris en compte le concours d'infractions. Ainsi, compte tenu de ces circonstances et des infractions retenues, on ne saurait considérer qu'une peine de 120 jours-amende est arbitrairement sévère. Au contraire, elle paraît modérée et le recours doit être rejeté sur ce point également.</w:t>
      </w:r>
    </w:p>
    <w:p>
      <w:r>
        <w:rPr>
          <w:b/>
        </w:rPr>
        <w:t>E. 6</w:t>
      </w:r>
    </w:p>
    <w:p>
      <w:r>
        <w:t>6.1) Dans un dernier moyen, le recourant soutient que le montant alloué à D.________ à titre de tort moral, est trop élevé. Il devrait selon ce dernier être ramené de 1'000 fr. à 200 francs. 6.2) En raison de la nature de l'indemnité pour tort moral, sa fixation échappe à tout critère mathématique. La détermination du montant correspondant au tort moral relève par essence du pouvoir d'appréciation du juge qui statue en équité (art. 4 CC [Code civil suisse du</w:t>
      </w:r>
    </w:p>
    <w:p>
      <w:r>
        <w:rPr>
          <w:b/>
        </w:rPr>
        <w:t>E. 10</w:t>
      </w:r>
    </w:p>
    <w:p>
      <w:r>
        <w:t>décembre 1907, RS 210]). L'autorité de recours n'intervient que si le premier juge a mésusé de son pouvoir d'appréciation, prenant en considération des éléments qui ne devaient pas l'être ou omettant de tenir compte de facteurs pertinents. Il faut en outre rappeler en ce qui concerne le montant de l'indemnité que l'ampleur de la réparation dépend avant tout de la gravité de l'atteinte ou, plus exactement, de l'intensité des souffrances résultant de celle-ci, même si la gravité de la faute et les facteurs de réduction prévus à l'art. 44 CO [loi fédérale du 30 mars 1911 complétant le code civil suisse (Livre cinquième : Droit des obligations), RS 220] entrent aussi en considération. La douleur morale éprouvée doit être particulièrement grande. 6.3) Le premier juge a retenu que la plaignante avait subi un véritable harcèlement, qu'elle s'était laissé aller, qu'elle avait interrompu ses études, qu'elle avait consulté un psychiatre, mais refusé de suivre un traitement médicamenteux et finalement qu'aujourd'hui, elle se porte manifestement mieux. D.________ a visiblement souffert des agissements du recourant. Elle a donc droit à une indemnité pour tort moral. Ainsi, compte tenu de l'ensemble des circonstances, le premier juge n'a pas excédé son large pouvoir d'appréciation en lui accordant une indemnité de 1'000 francs. Ce dernier moyen étant également mal fondé, le recours en réforme doit donc être rejeté. 7. En définitive, il convient de rejeter le recours dans son intégralité et de confirmer le jugement attaqué. Vu l'issue du recours, les frais de deuxième instance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