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83 vom 17. Februar 2011</w:t>
      </w:r>
    </w:p>
    <w:p>
      <w:r>
        <w:t>VD Tribunal cantonal, 2011-02-17, FR</w:t>
      </w:r>
    </w:p>
    <w:p>
      <w:r>
        <w:rPr>
          <w:b/>
        </w:rPr>
        <w:t xml:space="preserve">Quelle: </w:t>
      </w:r>
      <w:r>
        <w:t>https://mcp.opencaselaw.ch/entscheid/vd_findinfo_HC___2011___83</w:t>
      </w:r>
    </w:p>
    <w:p>
      <w:r>
        <w:t>FR: VD_FINDINFO HC / 2011 / 83 du 17 février 2011</w:t>
      </w:r>
    </w:p>
    <w:p>
      <w:r>
        <w:t>IT: VD_FINDINFO HC / 2011 / 83 del 17 febbraio 2011</w:t>
      </w:r>
    </w:p>
    <w:p>
      <w:pPr>
        <w:pStyle w:val="Heading2"/>
      </w:pPr>
      <w:r>
        <w:t>Regeste</w:t>
      </w:r>
    </w:p>
    <w:p>
      <w:r>
        <w:t>MESURE PROVISIONNELLE, BASE DU REVENU, MODIFICATION{EN GÉNÉRAL}, CONJOINT, OBLIGATION D'ENTRETIEN | 137 al. 2 CC, 176 al. 1 ch. 1 CC</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115 ss, sp. 126). Les ordonnances de mesures provisionnelles étant régies par la procédure sommaire, selon l'art. 248 let. d CPC (et selon l' art.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francs,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Le recourant estime tout d’abord que la diminution de la contribution d’entretien se justifie dès lors que sa situation a fondamentalement changé depuis septembre 2009. Il explique, en bref, qu’il a été licencié pour le 31 mai 2009, que ses indemnités de départ et ses réserves ont été absorbées par les charges d’entretien courant, qu’il n’a pas retrouvé d’emploi et qu’il convient par conséquent d’adapter la situation à cette évolution. Le recourant reproche ensuite au premier juge de ne pas avoir appliqué l’art. 125 CC (Code civil suisse du 10 décembre 1907; RS 210).</w:t>
      </w:r>
    </w:p>
    <w:p>
      <w:r>
        <w:rPr>
          <w:b/>
        </w:rPr>
        <w:t>E. 4</w:t>
      </w:r>
    </w:p>
    <w:p>
      <w:r>
        <w:t>a) Lors de l'introduction d'une action en divorce, les mesures protectrices de l'union conjugale antérieures demeurent en force tant qu'elles ne sont pas modifiées par le juge du divorce sur mesures provisoires requises par les parties. Une nouvelle décision en la matière n'est cependant possible que si, depuis l'entrée en force des mesures protectrices, les circonstances de fait ont changé d'une manière essentielle et durable, notamment en matière de revenus, ou si le juge a ignoré des éléments essentiels ou a mal apprécié les circonstances (ATF 129 III 60 c. 2 p. 61). D'après l'art. 176 al. 1 ch. 1 CC applicable par analogie aux mesures provisoires (art. 137 al. 2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 4b/aa). Le montant de la contribution d'entretien se détermine en fonction des facultés économiques et des besoins respectifs des époux. En cas de situation financière favorable, il convient en principe de se fonder sur les dépenses indispensables au maintien des conditions de vie antérieures (ATF 115 II 424; TF 5A_515/2008 du 1er décembre 2008 c. 2.1; TF 5A_732/2007 du 4 avril 2008 c. 2.2; TF 5P.138/2001 du 10 juillet 2001 c. 2a/bb, in FamPra.ch 2002 p. 333). Le train de vie mené jusqu'à la cessation de la vie commune constitue la limite supérieure du droit à l'entretien (ATF 121 I 97 c. 3b; 118 II 376 c. 20b). Il incombe au créancier de la contribution d'entretien de préciser les dépenses nécessaires à son train de vie et de les rendre vraisemblables (ATF 115 II 424 c. 2; TF 5A_732/2007 du 4 avril 2008 c. 2.2). Lorsqu’une reprise de la vie commune n'est plus guère envisageable après le dépôt d'une demande de divorce, l'objectif pour le conjoint de reprendre ou d'étendre son activité lucrative et d'assurer ainsi son indépendance financière apparaît déjà important dans le cadre des mesures provisoires de l'art. 137 al. 2 CC; les principes jurisprudentiels sur l'entretien après le divorce peuvent y être pris en compte, par analogie, dans une proportion plus étendue que dans le cadre des mesures de protection de l'union conjugale (ATF 130 III 537 c. 3.2 p. 542; TF 5P.189/2002 du 17 juillet 2002, c. 2, reproduit in FamPra 2002 p. 836).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(cf. ATF 114 II 13 c. 5 p. 17, 301 c. 3a p. 302). b) Il résulte des éléments exposés ci-dessus dans la partie consacrée aux faits, que, depuis le mois de juin 2009, le recourant a perçu un total net de 855'440 fr., ce qui représente, en mensualisant cette somme jusqu’au 31 décembre 2010, un gain mensuel de 45'023 fr. Avant de quitter son employeur, le recourant y réalisait un salaire annuel de 535'557 fr., correspondant à un gain mensuel de 44'630 francs. Dans ces conditions, on ne saurait affirmer que les circonstances se sont notablement et durablement modifiées depuis la signature des conventions de mesures protectrices par lesquelles le recourant s’était engagé à payer tout d’abord une pension de 15'000 fr., puis – en raison de son départ de chez [...] - de 11'500 fr., ce dernier montant n’incluant pas les frais d’écolage des enfants. On doit par conséquent admettre que la situation du recourant, contrairement à ses allégations, ne s’est pas péjorée et que ce dernier, conformément à l’appréciation du premier juge, est en mesure de payer la somme requise de 10'000 fr. dès le 1er juin et ce jusqu’à la fin de l’année 2010, ainsi que les frais de l’école de son fils, étant relevé que le montant de cette pension est inférieur aux montants fixés conventionnellement par les parties et que le recourant se voit désormais déchargé de certains frais d’écolage, [...] ayant été inscrite à l’école publique et [...] fréquentant l’école [...], pour l’année 2010-2011 et les frais annuels ayant été dès lors réduits de 45'000 à 11'000 fr. (soit environ 2'830 fr. par mois). S’agissant de la période ultérieure, le premier juge a relevé qu’il appartenait au recourant d’établir une péjoration de sa situation dans le cadre d’une nouvelle requête de mesures provisionnelles, les pièces produites dans la présente procédure n’étant pas suffisantes, ce que le recourant ne conteste d’ailleurs pas. Pour le reste, le premier juge n’a pas ignoré des éléments essentiels, ni mal apprécié les circonstances. En effet, d’une part, contrairement à ce que semble penser le recourant, aucun des éléments qu’il invoque n’a été ignoré par le premier juge. En effet, ce dernier n’a pas perdu de vue que le recourant n’avait plus son emploi chez [...]; il n’a pas non plus ignoré que le droit de visite de l’intéressé s’exerce une semaine sur deux, du lundi après l’école au lundi matin suivant à la reprise des classes, pendant la moitié des vacances scolaires et chaque année alternativement à Noël, Nouvel An, Pâques et Pentecôte, dès lors que ce droit de visite avait ainsi été fixé dans la convention des mesures protectrices du mois de septembre 2009; de même, le premier juge n’a pas ignoré que l’épouse réalisait un revenu, ni qu’elle partageait un logement avec son ami. D’autre part, ces éléments ne constituent aucunement des circonstances nouvelles depuis la signature de la seconde convention de mesures protectrices. Enfin, s’agissant de l’application de l’art. 125 CC, et ce même si le premier juge a considéré qu’il était prématuré d’appliquer cette disposition, il a été tenu compte dans le cadre de la fixation de la pension, du fait que l’intimée exerce une activité professionnelle et réalise un revenu net s’élevant à 3'251 francs. Pour le reste, le recourant ne prétend pas que son épouse aurait la possibilité d’obtenir un revenu supérieur.</w:t>
      </w:r>
    </w:p>
    <w:p>
      <w:r>
        <w:rPr>
          <w:b/>
        </w:rPr>
        <w:t>E. 5</w:t>
      </w:r>
    </w:p>
    <w:p>
      <w:r>
        <w:t>Au vu de ce qui précède, l’appel doit être rejeté, en application de l'art. 312 al. 1 CPC, et l'ordonnance confirmée. Le recourant, qui succombe, supporte les frais de la présente procédure (cf. art. 106 al. 1 CPC et 65 TFJC [tarif des frais judiciaires en matière civile du 28 septembre 2010; RSV 270.11.5]). Il n’y a pas lieu d’allouer de dépens à l’intimée qui n’a pas été invitée à se déterminer. Par ces motifs, le juge délégué de la Cour d’appel civile du Tribunal cantonal, statuant à huis clos, en application de l'art. 312 al. 1 CPC, prononce : I. L’appel est rejeté. II. L'ordonnance est confirmée. III. Les frais judiciaires de deuxième instance, arrêtés à 1'800 fr. (mille huit cents francs), sont mis à la charge de l'appelant A.H.________. IV. L'arrêt motivé est exécutoire. Le juge délégué : Le greffier : Du 17 février 2011 Le dispositif de l'arrêt qui précède est communiqué par écrit aux intéressés. Le greffier : Du L'arrêt qui précède, dont la rédaction a été approuvée à huis clos, est notifié en expédition complète, par l'envoi de photocopies, à : ‑ Me Christine Marti (pour A.H.________), ‑ Me Alain Dubois (pour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