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82 vom 15. Februar 2011</w:t>
      </w:r>
    </w:p>
    <w:p>
      <w:r>
        <w:t>VD Tribunal cantonal, 2011-02-15, FR</w:t>
      </w:r>
    </w:p>
    <w:p>
      <w:r>
        <w:rPr>
          <w:b/>
        </w:rPr>
        <w:t xml:space="preserve">Quelle: </w:t>
      </w:r>
      <w:r>
        <w:t>https://mcp.opencaselaw.ch/entscheid/vd_findinfo_HC___2011___82</w:t>
      </w:r>
    </w:p>
    <w:p>
      <w:r>
        <w:t>FR: VD_FINDINFO HC / 2011 / 82 du 15 février 2011</w:t>
      </w:r>
    </w:p>
    <w:p>
      <w:r>
        <w:t>IT: VD_FINDINFO HC / 2011 / 82 del 15 febbraio 2011</w:t>
      </w:r>
    </w:p>
    <w:p>
      <w:pPr>
        <w:pStyle w:val="Heading2"/>
      </w:pPr>
      <w:r>
        <w:t>Regeste</w:t>
      </w:r>
    </w:p>
    <w:p>
      <w:r>
        <w:t>EXPULSION DE LOCATAIRE, APPRÉCIATION DES PREUVES, INTERDICTION DE L'ARBITRAIRE | 257d CO, 457 CPC, 23 LPEBL, 24 LPEBL, 29 LPEBL</w:t>
      </w:r>
    </w:p>
    <w:p>
      <w:pPr>
        <w:pStyle w:val="Heading2"/>
      </w:pPr>
      <w:r>
        <w:t>Erwägungen</w:t>
      </w:r>
    </w:p>
    <w:p>
      <w:r>
        <w:rPr>
          <w:b/>
        </w:rPr>
        <w:t>E. 1</w:t>
      </w:r>
    </w:p>
    <w:p>
      <w:r>
        <w:t>a) Le Code de procédure civile du 19 décembre 2008 (ci-après CPC, RS 272) est entré en vigueur le 1 er janvier 2011. Selon l'art. 405 al. 1 CPC, les recours sont régis par le droit en vigueur au moment de la communication de la décision aux parties. En l'espèce, l'ordonnance attaquée, datée du 26 novembre 2010, a été notifiée les 29 et 30 novembre 2010 aux parties, soit avant l'entrée en vigueur du CPC. Les voies de droit sont ainsi régies par le Code de procédure civile vaudois du 14 décembre 1966 (ci-après CPC-VD, RSV 270.11) et de la loi sur la procédure d'expulsion en matière de baux à loyer et à ferme, alors en vigueur (ci-après LPEBL; RSV 221.305). b) L'art. 23 al. 1 LPEBL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l'art. 23 al. 2 LPEBL,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2008, n. 4 ad art. 23 LPEBL, p. 212). En l'espèce, la recourante n'ayant pas contesté le congé litigieux devant la commission de conciliation, l'autorité de recours doit donc examiner le recours en droit sous l'angle restreint de l'arbitraire (Guignard, op. cit., n. 1 ad art. 24 LPEBL a contrario).</w:t>
      </w:r>
    </w:p>
    <w:p>
      <w:r>
        <w:rPr>
          <w:b/>
        </w:rPr>
        <w:t>E. 2</w:t>
      </w:r>
    </w:p>
    <w:p>
      <w:r>
        <w:t>a) Du point de vue factuel, la cour de céans dispose d'un pouvoir d'examen défini par l'art. 457 al. 1 CPC-VD (applicable en vertu du renvoi de l'art. 29 LPEBL) de telle sorte qu'elle doit admettre comme constants les faits constatés par le jugement, sauf contradiction avec les pièces du dossier et sous réserve de complètement sur la base de celui-ci (JT 2009 III 79; JT 2008 III 12 c. 3a; JT 1993 III 88 c. 3).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Lorsque le jugement ne renferme pas un exposé des faits suffisant pour permettre de juger la cause à nouveau et que le dossier ne permet pas de combler cette lacune, la Chambre des recours peut d'office annuler le jugement (art. 457 al. 3 CPC-VD). La production de pièces nouvelles n'est admise que dans le cadre de moyens de nullité, mais non à l'appui de moyens de réforme (art. 25 LPEBL; Guignard, op. cit., n. 1 ad art. 25 LPEBL). En l'espèce, l'état de fait de l'ordonnance attaquée, qui a été complété, est conforme aux pièces du dossier et aux autres preuves administrées. Les pièces produites par la recourante à l'appui de son recours sont irrecevables. b) Le déni de justice au sens des art. 9 Cst. (Constitution fédérale du 18 avril 1999, RS 101)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n. 5 ad art. 356 CPC-VD, p. 537). Il faut que la décision soit non seulement insoutenable, mais encore arbitraire dans son résultat (ATF 134 II 124 c. 4.1 et les réf. citées).</w:t>
      </w:r>
    </w:p>
    <w:p>
      <w:r>
        <w:rPr>
          <w:b/>
        </w:rPr>
        <w:t>E. 3</w:t>
      </w:r>
    </w:p>
    <w:p>
      <w:r>
        <w:t>L'art. 257d al. 1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la recourante reproche au premier juge de n’avoir pas pris en considération la copie sur papier blanc d’une partie du texte de la formule officielle de l’art. 266l al. 2 CO. Elle s’en prend dès lors à l’appréciation des preuves effectuée par le premier juge. Abstraction devant être faite de la copie de la formule officielle sur papier bleu produite en deuxième instance, il est patent que la formule sur papier blanc soumise au premier juge ne satisfait pas à l’exigence prévue par cette disposition. Elle ne reproduit en effet pas le texte de la formule officielle indiquant au locataire les voies de droit dont il dispose à réception d’une résiliation. La recourante ne saurait se borner à invoquer le professionnalisme de son mandataire pour qu’on doive tenir pour établi qu’un texte complet est en réalité parvenu aux intimés. Il faut au contraire déduire précisément du caractère incomplet de la copie produite devant le premier juge par ledit mandataire que la notification de la résiliation n’a pas été régulière. C’est ainsi à juste titre que le premier juge a tenu la résiliation pour nulle, au sens de l'art. 266o CO, et a rejeté la requête d’expulsion.</w:t>
      </w:r>
    </w:p>
    <w:p>
      <w:r>
        <w:rPr>
          <w:b/>
        </w:rPr>
        <w:t>E. 4</w:t>
      </w:r>
    </w:p>
    <w:p>
      <w:r>
        <w:t>En conclusion, le recours doit être rejeté et l'ordonnance confirmée. Les frais de deuxième instance de la recourante sont arrêtés à 250 francs. L'intimé ayant procédé sans être assisté, il n'y a pas matière à l'octroi de dépens. Par ces motifs, la Chambre des recours du Tribunal cantonal, statuant à huis clos, prononce : I. Le recours est rejeté. II. L'ordonnance est confirmée. III. Les frais de deuxième instance de la recourante X.________ sont arrêtés à 250 fr. (deux cent cinquante francs). IV. L'arrêt motivé est exécutoire. Le président :               La greffière : Du 15 février 2011 Le dispositif de l'arrêt qui précède est communiqué par écrit aux intéressés. La greffière : Du L'arrêt qui précède, dont la rédaction a été approuvée à huis clos, est notifié à : ‑ M. Jacques Lauber, agent d'affaires breveté (pour X.________), ‑ M. R.________, - Mme K.________. La Chambre des recours considère que la valeur litigieuse est de 2'940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