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81 vom 15. Februar 2011</w:t>
      </w:r>
    </w:p>
    <w:p>
      <w:r>
        <w:t>VD Tribunal cantonal, 2011-02-15, FR</w:t>
      </w:r>
    </w:p>
    <w:p>
      <w:r>
        <w:rPr>
          <w:b/>
        </w:rPr>
        <w:t xml:space="preserve">Quelle: </w:t>
      </w:r>
      <w:r>
        <w:t>https://mcp.opencaselaw.ch/entscheid/vd_findinfo_HC___2011___81</w:t>
      </w:r>
    </w:p>
    <w:p>
      <w:r>
        <w:t>FR: VD_FINDINFO HC / 2011 / 81 du 15 février 2011</w:t>
      </w:r>
    </w:p>
    <w:p>
      <w:r>
        <w:t>IT: VD_FINDINFO HC / 2011 / 81 del 15 febbraio 2011</w:t>
      </w:r>
    </w:p>
    <w:p>
      <w:pPr>
        <w:pStyle w:val="Heading2"/>
      </w:pPr>
      <w:r>
        <w:t>Regeste</w:t>
      </w:r>
    </w:p>
    <w:p>
      <w:r>
        <w:t>PARTIE À LA PROCÉDURE, LÉGITIMATION ACTIVE ET PASSIVE, EXCEPTION{MOYEN DE DÉFENSE}, DROIT DE CORRECTION, ABUS DE DROIT | 2 CC, 139 let. a CPC, 17 CPC, 451 ch. 3 CPC, 452 al. 2 CPC, 465 al. 1 CPC, 62 CPC,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la décision attaquée a été notifiée aux parties le 6 décembre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art. 444 et 451 ch. 3 CPC-VD ouvrent la voie du recours en nullité et en réforme contre les jugements principaux rendus par un président de tribunal d'arrondissement. Constitue un jugement principal toute décision qui met fin à l'instance ou qui statue sur des conclusions tendant à invalider celle-ci, partiellement ou totalement, par exemple qui tendent à l'éconduction d'instance d'une partie (art. 138 et 444 al. 3 CPC-VD; JT 1993 III 66; JT 1992 III 76; JT 1980 III 3; Poudret/Haldy/Tappy, Procédure civile vaudoise, 3 ème éd., Lausanne 2002, n. 19 ad art. 444 CPC-VD p. 662; Girardet, Le recours en nullité en procédure civile vaudoise, thèse Lausanne 1986, pp. 95 ss, spéc. pp. 125 et 127). Le recours, interjeté en temps utile, est recevable.</w:t>
      </w:r>
    </w:p>
    <w:p>
      <w:r>
        <w:rPr>
          <w:b/>
        </w:rPr>
        <w:t>E. 3</w:t>
      </w:r>
    </w:p>
    <w:p>
      <w:r>
        <w:t>En nullité, les recourantes font valoir que le premier juge a considéré de manière arbitraire que la requête incidente n'avait plus d'objet et a au demeurant fait une application insoutenable de l'art. 139 let. a CPC-VD. Ces moyens peuvent être examinés dans le cadre du recours en réforme, vu le pouvoir d'examen de la Chambre des recours (cf. art. 452 al. 2 CPC-VD). Ils sont irrecevables en nullité, voie de droit subsidiaire (Poudret/Haldy/Tappy, Procédure civile vaudoise, op. cit., n. 14 ad art. 444 CPC-VD).</w:t>
      </w:r>
    </w:p>
    <w:p>
      <w:r>
        <w:rPr>
          <w:b/>
        </w:rPr>
        <w:t>E. 4</w:t>
      </w:r>
    </w:p>
    <w:p>
      <w:r>
        <w:t>En matière de recours en réforme interjeté contre le jugement incident d'un président de tribunal d'arrondissement, le pouvoir d'examen de la Chambre des recours est celui défini à l'art. 452 CPC-VD (JT 2003 III 16). La cour de céans revoit librement la cause en fait et en droit (art. 452 al. 2 CPC-VD), sans toutefois réadministrer les preuves déjà administrées en première instance (JT 2003 III 3). En outre, les parties ne peuvent articuler des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l'avoir, le cas échéant, corrigé ou complété (JT 2003 III 3 précité). En l'espèce, l'état de fait du jugement a été établi sur la base des pièces au dossier. Il est complet et conforme à celles-ci. La cour de céans est donc en mesure de statuer en réforme, sans devoir procéder à une instruction complémentaire.</w:t>
      </w:r>
    </w:p>
    <w:p>
      <w:r>
        <w:rPr>
          <w:b/>
        </w:rPr>
        <w:t>E. 5</w:t>
      </w:r>
    </w:p>
    <w:p>
      <w:r>
        <w:t>Le 3 décembre 2010, l'intimé a déposé une nouvelle demande en contestation de l'état de collocation comportant la désignation exacte de la défenderesse. Le premier juge a considéré que la procédure incidente n'avait plus d'objet. Cet avis ne peut être suivi. En effet, la nouvelle demande déposée le 3 décembre 2010, comportant rectification de la désignation de la défenderesse, porte la date du 5 juillet 2010. Elle était donc destinée à remplacer la précédente demande, tout en conservant la litispendance au 5 juillet 2010. Si l'art. 17 CPC-VD offre au juge la possibilité de faire corriger les irrégularités d'un acte de procédure par son auteur, avant de le transmettre à la partie adverse, il n'en est pas de même une fois l'acte notifié. Dans ce cas, il appartient à la seule partie adverse de se prévaloir de l'informalité en soulevant une exception de procédure (art. 139 CPC-VD), le juge ne pouvant alors plus autoriser la correction du vice (Poudret/Haldy/Tappy, op. cit., n. 2 ad art. 17 CPC-VD et n. 2 ad art. 139 CPC-VD). Lorsque les conditions de l'art. 139 CPC-VD sont réunies, l'exception doit être rejetée, alors que, dans le cas contraire, elle doit être admise et l'instance invalidée. Une éventuelle correction de la désignation n'entraîne pas le rejet de l'exception (cf. Poudret/Haldy/Tappy, op. cit., n. 2 ad art. 139 CPC-VD). La requête incidente conservait par conséquent son objet, les recourantes ayant un intérêt manifeste à faire invalider l'instance.</w:t>
      </w:r>
    </w:p>
    <w:p>
      <w:r>
        <w:rPr>
          <w:b/>
        </w:rPr>
        <w:t>E. 6</w:t>
      </w:r>
    </w:p>
    <w:p>
      <w:r>
        <w:t>a) Selon la doctrine et la jurisprudence, il convient de distinguer entre défaut de légitimation active ou passive et défaut de qualité pour agir ou défendre.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pour agir ou défendre, condition d'ordre procédural, entraîne l'irrecevabilité de l'action (SJ 1995 p. 212 c. 2; JT 2001 III 77; Hohl, Procédure civile vaudoise, tome I, 2001, n° 451, p. 100; Poudret/Haldy/Tappy, op. cit., n. 1 ad art. 62 CPC-VD, p. 115). L'inexistence d'une partie peut constituer à la fois un moyen de procédure, qui doit être invoqué par une exception de procédure, et un moyen de fond (défaut de légitimation), qui doit être tranché dans le jugement au fond (Poudret/Haldy/Tappy, op. cit., n. 1 ad art. 62 CPC, p. 115 et références et n. 3 ad art. 138 CPC, p. 259). Soulevée sous forme d'exception de procédure, elle entraîne l'invalidation de l'instance (JT 1966 III 114; JT 1980 III 3; Bonnard, De la classification des exceptions et des exceptions de procédure en droit vaudois, thèse Lausanne 1948, p. 109). b) Selon la jurisprudence, la capacité d'ester en justice est une condition dont l'observation ne peut avoir pour sanction que l'éconduction d'instance. Cette règle a pour conséquence qu'il convient de distinguer entre la partie inexistante – qui, par définitition, ne jouit pas des droits civils et ne peut ainsi pas ester en justice au sens de l'art. 62 CPC-VD – et la partie inexactement ou incomplètement désignée, qui entre dans les prévisions de l'art. 139 let. a CPC-VD (JT 1980 III 3). L'art. 139 let. a CPC-VD ne peut dès lors être invoqué en cas d'inexistence d'une partie, même en l'absence de toute équivoque (Poudret/Haldy/Tappy, op. cit., n. 1 ad art. 139 CPC, p. 260). La possibilité de corriger un vice en cours de procédure n'apparaît ainsi en principe pas ouverte en cas de citation d'une partie inexistante. Toutefois, la jurisprudence a déjà admis l'application de l'art. 139 let. a CPC-VD dans un cas où une société simple, dépourvue de la personnalité juridique, avait été citée alors qu'il était reconnaissable que les associés qui la constituaient avaient agi sous son nom et qu'ils pouvaient être identifiés sur la base du dossier (JT 1998 III 108 et note critique de Poudret). La possibilité d'une correction de la partie désignée peut aussi être appréhendée sous l'angle de l'abus de droit (hypothèse réservée par Poudret/Haldy/Tappy, op. cit., n. 1 ad art. 139 CPC-VD p. 260) et du formalisme excessif. Aux termes de l'art. 2 CC (Code civil du 10 décembre 1907; RS 210), chacun est tenu d'exercer ses droits selon les règles de la bonne foi (al. 1) et l'abus manifeste d'un droit n'est pas protégé par la loi (al. 2). Ces principes régissent non seulement le droit civil fédéral mais aussi le droit de procédure civile. En procédure civile, il se peut par exemple que l'une des parties invoque abusivement un vice de forme prétendument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La cour de céans a ainsi considéré comme abusive l'exception de procédure soulevée dans un litige en matière de bail, relative au défaut de qualité de partie, alors que la désignation "succession de [...]" avait été le fait de la partie requérante à l'incident, qui s'était ainsi désignée dans le contrat de bail et dans d'autres documents, comme les décomptes de frais. Dans une telle hypothèse, il y a lieu de permettre à l'intimé à l'incident de procéder à la rectification (CREC I 11 avril 2007/139). c) En l'espèce, il est constant que la partie "N.E.________ SA" est inexistante.[...] Toutefois, la production de la créance litigieuse dans la faillite de feu K.________, selon courrier du 16 février 2010, a été faite au nom de "N.E.________". Les termes N.E.________ apparaissent à trois reprises en lettres grasses dans ce courrier, tant dans l'entête, que sous la rubrique "créancier" et avant la signature. Dans l'état de collocation du 12 mai 2010, la créance a été admise avec la désignation comme créancier de "N.E.________ SA". Cette désignation n'a pas été contestée dans le délai de plainte, ni dans le délai de l'art. 250 LP par les recourantes Dans ces circonstances, les recourantes ont créé par leur production dans la faillite l'équivoque dont elles se prévalent aujourd'hui, équivoque qu'elles n'ont pas dissipée au moment du dépôt de l'état de collocation, alors que la bonne foi leur commandait de le faire. Elles commettent par conséquent un abus de droit en se prévalant de l'inexistence de "N.E.________ SA". d) En outre, les recourantes font valoir que la désignation litigieuse serait équivoque, car il ne serait pas possible de savoir si l'intimé a souhaité assigner N.G.________ SA ou N.A.________ SA, les deux sociétés ayant leur siège à l'adresse indiquée dans la demande. La désignation d'une partie peut être rectifiée lorsqu'il n'existe dans l'esprit du tribunal et des parties aucun doute raisonnable sur l'identité de cette partie, notamment lorsque son identité ressort de l'objet du litige (Hohl, Procédure civile vaudoise, Tome II, 2è éd., n. 585, pp. 117-118). Dès lors que la procédure était en contestation de l'état de collocation, il n'y avait aucun doute pour les parties et le tribunal qu'elle ne pouvait être dirigée que contre l'entité juridique qui avait produit la créance dont la collocation était contestée. Les recourantes l'ont bien compris puisqu'à réception de la demande dirigée contre "N.E.________" SA, leur mandataire a écrit le 12 août 2010 être consulté par N.A.________ SA et requis une prolongation pour le dépôt de la réponse. Il n'y a dès lors pas d'équivoque sur la société défenderesse dans l'action au fond.</w:t>
      </w:r>
    </w:p>
    <w:p>
      <w:r>
        <w:rPr>
          <w:b/>
        </w:rPr>
        <w:t>E. 7</w:t>
      </w:r>
    </w:p>
    <w:p>
      <w:r>
        <w:t>Dès lors, le recours doit être rejeté en application de l'art. 465 al. 1 CPC-VD et la décision confirmée. Les frais de deuxième instance des recourants sont arrêtés à 634 fr. (art. 232 al. 1 TFJC [tarif des frais judiciaires en matière civile du 4 décembre 1984; RSV 270.11.5]) Par ces motifs, la Chambre des recours du Tribunal cantonal, statuant à huis clos, en application de l'art. 465 al. 1 CPC, prononce : I. Le recours est rejeté. II. La décision est confirmée. III. Les frais de deuxième instance des recourantes N.G.________ SA et N.A.________ SA sont arrêtés à 634 fr. (six cent trente-quatre francs). IV. L'arrêt motivé est exécutoire. Le président :               La greffière : Du 15 février 2011 Le dispositif de l'arrêt qui précède est communiqué par écrit aux intéressés. La greffière : Du L'arrêt qui précède, dont la rédaction a été approuvée à huis clos, est notifié en expédition complète, par l'envoi de photocopies, à : ‑ Me Marc Häsler (pour N.G.________ SA et N.A.________ SA), ‑ Me Christophe Misteli (pour 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