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80 vom 8. November 2010</w:t>
      </w:r>
    </w:p>
    <w:p>
      <w:r>
        <w:t>VD Tribunal cantonal, 2010-11-08, FR</w:t>
      </w:r>
    </w:p>
    <w:p>
      <w:r>
        <w:rPr>
          <w:b/>
        </w:rPr>
        <w:t xml:space="preserve">Quelle: </w:t>
      </w:r>
      <w:r>
        <w:t>https://mcp.opencaselaw.ch/entscheid/vd_findinfo_HC___2011___80</w:t>
      </w:r>
    </w:p>
    <w:p>
      <w:r>
        <w:t>FR: VD_FINDINFO HC / 2011 / 80 du 8 novembre 2010</w:t>
      </w:r>
    </w:p>
    <w:p>
      <w:r>
        <w:t>IT: VD_FINDINFO HC / 2011 / 80 del 8 novembre 2010</w:t>
      </w:r>
    </w:p>
    <w:p>
      <w:pPr>
        <w:pStyle w:val="Heading2"/>
      </w:pPr>
      <w:r>
        <w:t>Regeste</w:t>
      </w:r>
    </w:p>
    <w:p>
      <w:r>
        <w:t>CONTRAT DE TRAVAIL, PROHIBITION DE CONCURRENCE | 340 CO, 340a CO, 340b CO, 340c CO, 343 CO, 10 LJT</w:t>
      </w:r>
    </w:p>
    <w:p>
      <w:pPr>
        <w:pStyle w:val="Heading2"/>
      </w:pPr>
      <w:r>
        <w:t>Erwägungen</w:t>
      </w:r>
    </w:p>
    <w:p>
      <w:r>
        <w:rPr>
          <w:b/>
        </w:rPr>
        <w:t>E. 1</w:t>
      </w:r>
    </w:p>
    <w:p>
      <w:r>
        <w:t>a) L'art. 46 aLJT (loi vaudoise du 17 mai 1999 sur la juridiction du travail; ROLV 1999 p. 164) ouvre la voie du recours en nullité et en réforme contre les jugements rendus par un tribunal de prud'hommes, selon les art. 444, 445 et 451 CPC-VD (Code de procédure civile vaudois du 14 décembre 1966; RSV 270.11). En l'espèce, le recours de R.________ Sàrl est exclusivement en réforme et les conclusions ne sont pas nouvelles. Il est immédiatement motivé et est donc recevable en la forme (art. 451 ch. 2 CPC-VD par renvoi de l'art. 46 al. 2 aLJT). b) Le pouvoir d'examen de la cour est défini aux art. 452 al. 1ter et al. 2 et 456a CPC-VD. Saisie d'un recours contre un jugement prud'homal, la Chambre des recours revoit la cause librement en fait et en droit. Les parties ne peuvent toutefois articuler de faits nouveaux, sous réserve de ceux qui résultent du dossier et qui auraient dû être retenus en première instance ou de ceux qui peuvent résulter, le cas échéant, d'une instruction complémentaire à forme de l'article 456a CPC-VD (JT 2003 III 3; Ducret/Osojnak, in Ducret et alii, Procédures spéciales vaudoises, Lausanne 2008, n. 6 ad art. 46 aLJT). En l'espèce, l'état de fait du jugement entrepris est conforme aux pièces du dossier et aux autres preuves administrées. Il n'y a pas lieu de le compléter, ni de procéder à une instruction complémentaire, la cour de céans étant à même de statuer en réforme.</w:t>
      </w:r>
    </w:p>
    <w:p>
      <w:r>
        <w:rPr>
          <w:b/>
        </w:rPr>
        <w:t>E. 2</w:t>
      </w:r>
    </w:p>
    <w:p>
      <w:r>
        <w:t>CO), mais il peut en plus exiger la cessation de contravention s'il s'en est réservé le droit, le cas échéant par la voie des mesures provisionnelles (art. 340b al. 3 CO; ATF 131 III 473). Pour apprécier si les conditions de la contravention sont réalisées (soit en vue de l'application de l'art. 340b CO en relation avec un dommage effectif subi par l'employeur), il faut rechercher ce qui s'est passé après la fin des rapports de travail (ATF 101 la 450 c. 4b; Favre/Munoz/Tobler, Le contrat de travail, Code annoté, 2 e éd., Lausanne 2010, n. 1.1 ad art 340b CO; Carruzzo, Le contrat individuel de travail, Zurich/Bâle/Genève 2009, p. 601). Le fait de s'engager et d'entrer en service chez un concurrent peut être à lui seul un acte de concurrence (ATF 72 lI 80) et l'absence de préjudice effectif n'affecte pas la validité de la clause (ATF 101 la 450). Enfin, la prohibition cesse s'il est établi que l'employeur n'a plus d'intérêt réel à ce qu'elle soit maintenue; la preuve est à la charge du travailleur (art. 340c al. 1 CO; Carruzzo, op. cit., p. 605). c) En l'espèce, la situation est assez particulière. En effet, il est admis et constant que la fin des rapports de travail a été fixée au 4 mars 2009 (jugement entrepris, pp. 32 et 40). Il est également retenu que E.________, l'un des concurrents de la recourante, et l'intimée ont conclu un contrat de travail en date du 15 février 2009, avec entrée en fonction prévue le 6 mars 2009 (jugement entrepris, pp. 28 s.). Enfin, il est toujours aussi constant que le Service de l'emploi a rejeté la demande de l'intimée tendant à la prolongation de son permis de séjour avec activité lucrative par décision du 4 mars 2009 (jugement entrepris, p. 32), ce qui a empêché l'intimée d'être effectivement engagée auprès de la société de E.________ (jugement entrepris, p. 29). En d'autres termes, l'intimée n'a jamais débuté son travail auprès d'un employeur concurrent, faute de permis de travail valable. Elle en a d'ailleurs apporté la preuve devant le Tribunal de prud'hommes. Dès lors se pose la question de savoir dans quelle mesure une violation de la prohibition pourrait être retenue pour un acte qui allait peut-être se produire, mais qui ne l'a pas été. A cela, il faut ajouter l'effet dissuasif des mesures préprovisionnelles, requises à juste titre, et obtenues par la recourante selon décision du président du Tribunal de prud'hommes du 11 mars 2009, faisant interdiction à l'intimée d'utiliser le fichier clientèle et les ordonnances à leur intention (jugement entrepris, p. 34). Certes, si le canton avait donné son autorisation de travail et si les mesures préprovisionnelles n'avaient pas été requises et prises dans le but de protéger un éventuel transfert d'informations, il existe des indices que l'intimée aurait enfreint la clause en question. Toutefois, sur la base du dossier, tel n'a finalement pas été le cas et la recourante ne le conteste au demeurant pas (cf. mémoire de recours, p. 7). La recourante soutient que la concordance des agissements des intéressés caractérisent la violation effective de la clause de prohibition et donc de la clause pénale, violation qui était déjà effective par la signature du contrat et les démarches administratives. Ce n'est que par l'action rapide de celle-ci qu'aucun dommage n'a été causé. Certes, encore une fois, il est établi que la signature d'un nouveau contrat et la demande d'une autorisation administrative démontraient peut- être une volonté d'enfreindre ladite clause. Mais il n'en reste pas moins que, temporellement, elle ne l'a pas été, le moment déterminant ne pouvant être que lorsque le travailleur commence effectivement son travail pour le concurrent, faute d'éléments permettant de confirmer qu'il y aurait eu une violation déjà au préalable, ce qui n'est pas démontré en l'espèce. Dans le cas présent, le début de l'activité lucrative de l'intimée pour E.________ n'a jamais eu lieu et aucune violation au préalable n'a été démontrée. Il n'y a donc pas lieu à paiement de la clause pénale, dont le but est de sanctionner les conséquences d'une activité concurrentielle. Il n'est dès lors pas nécessaire d'examiner les autres conditions relatives au paiement de ladite clause, ni les éventuels motifs de réduction du montant. Dans ces circonstances, la recourante échoue à établir l'existence d'une créance qu'elle pourrait opposer à l'intimée. Par conséquent, elle ne peut éteindre les montants dus à cette dernière (ch. I et II du dispositif du jugement entrepris) par voie de compensation. En définitive, la décision des premiers juges n'est pas critiquable et le moyen doit être rejeté.</w:t>
      </w:r>
    </w:p>
    <w:p>
      <w:r>
        <w:rPr>
          <w:b/>
        </w:rPr>
        <w:t>E. 3</w:t>
      </w:r>
    </w:p>
    <w:p>
      <w:r>
        <w:t>Au vu de ce qui précède, le recours doit être rejeté en application de l'art. 465 al. 1 CPC-VD et le jugement entrepris confirmé. La valeur litigieuse étant inférieure à 30'000 fr., la procédure est gratuite (art. 343 al. 3 CO, 10 aLJT et 235 aTFJC [Tarif vaudois du 4 décembre 1984 des frais judiciaires en matière civile; ROLV 1984 p. 458]). Par ces motifs, la Chambre des recours du Tribunal cantonal, statuant à huis clos, en application de l'art. 465 al. 1 CPC, prononce : I. Le recours est rejeté. II. Le jugement est confirmé. III. L'arrêt est rendu sans frais. IV. L'arrêt motivé est exécutoire. Le président :               Le greffier : Du</w:t>
      </w:r>
    </w:p>
    <w:p>
      <w:r>
        <w:rPr>
          <w:b/>
        </w:rPr>
        <w:t>E. 8</w:t>
      </w:r>
    </w:p>
    <w:p>
      <w:r>
        <w:t>novembre 2010 Le dispositif de l'arrêt qui précède est communiqué par écrit aux intéressés. Le greffier : Du L'arrêt qui précède, dont la rédaction a été approuvée à huis clos, est notifié en expédition complète, par l'envoi de photocopies, à : ‑ Me Paul Marville (pour R.________ Sàrl), ‑ Me Christian Bettex (pour Z.________) La Chambre des recours considère que la valeur litigieuse est de 14'760 francs. Le présent arrêt peut faire l'objet d'un recours en matière civile devant le Tribunal fédéral au sens des art. 72 ss LTF (loi fédérale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