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723 vom 30. Dezember 2011</w:t>
      </w:r>
    </w:p>
    <w:p>
      <w:r>
        <w:t>VD Tribunal cantonal, 2011-12-30, FR</w:t>
      </w:r>
    </w:p>
    <w:p>
      <w:r>
        <w:rPr>
          <w:b/>
        </w:rPr>
        <w:t xml:space="preserve">Quelle: </w:t>
      </w:r>
      <w:r>
        <w:t>https://mcp.opencaselaw.ch/entscheid/vd_findinfo_HC___2011___723</w:t>
      </w:r>
    </w:p>
    <w:p>
      <w:r>
        <w:t>FR: VD_FINDINFO HC / 2011 / 723 du 30 décembre 2011</w:t>
      </w:r>
    </w:p>
    <w:p>
      <w:r>
        <w:t>IT: VD_FINDINFO HC / 2011 / 723 del 30 dicembre 2011</w:t>
      </w:r>
    </w:p>
    <w:p>
      <w:pPr>
        <w:pStyle w:val="Heading2"/>
      </w:pPr>
      <w:r>
        <w:t>Regeste</w:t>
      </w:r>
    </w:p>
    <w:p>
      <w:r>
        <w:t>FRAIS JUDICIAIRES, EXÉCUTION FORCÉE | 106 al. 1 CPC (CH)</w:t>
      </w:r>
    </w:p>
    <w:p>
      <w:pPr>
        <w:pStyle w:val="Heading2"/>
      </w:pPr>
      <w:r>
        <w:t>Erwägungen</w:t>
      </w:r>
    </w:p>
    <w:p>
      <w:r>
        <w:rPr>
          <w:b/>
        </w:rPr>
        <w:t>E. 4</w:t>
      </w:r>
    </w:p>
    <w:p>
      <w:r>
        <w:t>En conclusion, le recours doit être rejeté en application de l'art. 322 al. 1 CPC et le prononcé attaqué confirmé. Les frais de deuxième instance de la recourante sont arrêtés à 200 fr. (art. 69 al. 1 et 70 al. 3 TFJC) et mis à la charge de la recourante qui succombe (art. 106 al. 1 CPC). Il n'est pas alloué de dépens de deuxième instance, l'intimé ne s'étant pas déterminé. Par ces motifs, la Chambre des recours civile du Tribunal cantonal, statuant à huis clos, en application de l'art. 322 al. 1 CPC, prononce : I. Le recours est rejeté. II. Le prononcé est confirmé. III. Les frais judiciaires de deuxième instance, arrêtés à 200 fr. (deux cents francs), sont mis à la charge de la recourante E.________. IV. L'arrêt motivé est exécutoire. Le président :               La greffière : Du 3 janvier 2011 Le dispositif de l'arrêt qui précède est communiqué par écrit aux intéressés. La greffière : Du L'arrêt qui précède, dont la rédaction a été approuvée à huis clos, est notifié en expédition complète, par l'envoi de photocopies, à : ‑ Mme E.________, ‑ M. Jean-Marc Schlaeppi (pour X.________) La Chambre des recours civile considère que la valeur litigieuse est de 3'033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