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721 vom 16. Dezember 2011</w:t>
      </w:r>
    </w:p>
    <w:p>
      <w:r>
        <w:t>VD Tribunal cantonal, 2011-12-16, FR</w:t>
      </w:r>
    </w:p>
    <w:p>
      <w:r>
        <w:rPr>
          <w:b/>
        </w:rPr>
        <w:t xml:space="preserve">Quelle: </w:t>
      </w:r>
      <w:r>
        <w:t>https://mcp.opencaselaw.ch/entscheid/vd_findinfo_HC___2011___721</w:t>
      </w:r>
    </w:p>
    <w:p>
      <w:r>
        <w:t>FR: VD_FINDINFO HC / 2011 / 721 du 16 décembre 2011</w:t>
      </w:r>
    </w:p>
    <w:p>
      <w:r>
        <w:t>IT: VD_FINDINFO HC / 2011 / 721 del 16 dicembre 2011</w:t>
      </w:r>
    </w:p>
    <w:p>
      <w:pPr>
        <w:pStyle w:val="Heading2"/>
      </w:pPr>
      <w:r>
        <w:t>Regeste</w:t>
      </w:r>
    </w:p>
    <w:p>
      <w:r>
        <w:t>INDEMNITÉ{EN GÉNÉRAL}, AVOCAT D'OFFICE | 110 CPC (CH), 122 al. 1 let. a CPC (CH)</w:t>
      </w:r>
    </w:p>
    <w:p>
      <w:pPr>
        <w:pStyle w:val="Heading2"/>
      </w:pPr>
      <w:r>
        <w:t>Erwägungen</w:t>
      </w:r>
    </w:p>
    <w:p>
      <w:r>
        <w:rPr>
          <w:b/>
        </w:rPr>
        <w:t>E. 1</w:t>
      </w:r>
    </w:p>
    <w:p>
      <w:r>
        <w:t>a) La décision querellée ayant été communiquée aux parties le 22 novembre 2011, le recours est régi par le nouveau droit de procédure entré en vigueur le 1 er janvier 2011, conformément à l'art. 405 al. 1 CPC (Code de procédure civile du 19 décembre 2008 ; RS 272). b) Le recours est recevable contre les autres décisions et ordonnances d’instruction de première instance dans les cas prévus par la loi (art. 319 let. b ch. 1 CPC). En l'espèce, le litige porte le montant de l'indemnité allouée au conseil d'office. La question de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p. 503). Cet article prévoyant que la décision sur les frais ne peut être attaquée séparément que par un recours, c'est cette voie de droit qui est ouverte. La décision qui fixe et répartit les frais au sens de l'art. 110 CPC compte parmi les "autres décisions" visées par l'art. 319 let. b CPC (Jeandin, CPC commenté, Bâle 2011, n. 15 ad art. 319 CPC, p. 1272), lesquelles sont soumises au délai applicable à la procédure au fond (Jeandin, op. cit., n. 10 ad art. 321 CPC, p. 1279). Selon l'art. 321 CPC, le délai de recours est en principe de trente jours à compter de la notification de la décision motivée ou de la notification postérieure de la motivation (al. 1), sauf pour les décisions prises en procédure sommaire (al. 2). En l'espèce, la décision sur les frais a été rendue dans le cadre d'une procédure de divorce, à laquelle s'appliquent par analogie les règles de la procédure ordinaire, sauf disposition contraire de la loi (art. 219 CPC; Tappy, CPC commenté, Bâle 2011, n. 9 ad art. 219 CPC, p. 817). En l'absence d'une telle disposition contraire de la loi concernant le délai de recours, il faut admettre que celui-ci est de trente jours. c) Dès lors qu'il peut être tenu de rembourser l'assistance judiciaire dès qu'il est en mesure de le faire, selon l'art. 123 al. 1 CPC, le bénéficiaire de l'assistance judiciaire dispose à titre personnel d’un droit de recours contre la rémunération équitable de son conseil juridique commis d'office accordée selon l’art. 122 al. 1 let. a CPC (Tappy, op. cit, n. 22 ad art. 122 CPC, p. 503). Formé en temps utile, par une partie qui y a un intérêt digne de protection (art. 59 al.</w:t>
      </w:r>
    </w:p>
    <w:p>
      <w:r>
        <w:rPr>
          <w:b/>
        </w:rPr>
        <w:t>E. 2</w:t>
      </w:r>
    </w:p>
    <w:p>
      <w:r>
        <w:t>a) Le recours est recevable pour violation du droit et constatation manifestement inexacte des faits (art. 320 CPC). L'autorité de recours dispose d'un plein pouvoir d'examen s'agissant de la violation du droit (Spühler, BSK ZPO, Bâle 2010, n. 12 ad art. 319 CPC, p. 1504).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op. cit., n. 6 ad art. 327 CPC, p. 1287).</w:t>
      </w:r>
    </w:p>
    <w:p>
      <w:r>
        <w:rPr>
          <w:b/>
        </w:rPr>
        <w:t>E. 3</w:t>
      </w:r>
    </w:p>
    <w:p>
      <w:r>
        <w:t>a) Le recourant considère que le montant de l’indemnité de son précédent conseil d’office est trop élevé, compte tenu du peu d’opérations effectuées par ce dernier. b) La procédure ayant été introduite devant les autorités judiciaires après le 1 er janvier 2011, elle est régie par les règles du CDPJ (art. 166 al. 2 CDPJ [Code de droit privé judiciaire vaudois du 12 janvier 2010; RS 211.02] a contrario) et du RAJ (Règlement sur l'assistance judiciaire en matière civile du 7 décembre 2010; RS 211.02.3), auquel renvoie l'art. 39 al.</w:t>
      </w:r>
    </w:p>
    <w:p>
      <w:r>
        <w:rPr>
          <w:b/>
        </w:rPr>
        <w:t>E. 5</w:t>
      </w:r>
    </w:p>
    <w:p>
      <w:r>
        <w:t>CDPJ en matière de rémunération des conseils d'office, et non de la LAJ (Loi sur l'assistance judiciaire en matière civile du 24 novembre 1981) comme indiqué dans la décision querellée. L’art. 2 al. 1 RAJ prévoit que le conseil juridique commis d’office a droit au remboursement de ses débours et à un défraiement équitable - se référant à cet égard à l’art. 122 al. 1 let. a CPC selon lequel les cantons rémunèrent équitablement le conseil juridique commis d’office - qui est fixé en considération de l’importance de la cause, de ses difficultés, de l’ampleur du travail et du temps consacré. Cette disposition codifie la jurisprudence antérieure rendue sous l’empire de l’ancienne loi sur l’assistance judiciaire. Pour fixer la quotité de l’indemnité, l’autorité cantonale doit s’inspirer des critères applicables à la modération des honoraires d’avocat (arrêt du TF non publié B. du 24 avril 1997; ATF 122 I 1 c. 3a; arrêt du TF non publié C. du 9 novembre 1988).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(TF 6B_810/2010 du 25 mai 2011 c. 2; ATF 122 I 1 précité c. 3a; ATF 117 la 22 c. 3a; ATF 109 la 107 c. 3b).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précité c. 3a; ATF 117 la 22 précité c.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du bénéficiaire de l'assistance judiciaire ou qui consistent en un soutien moral (TF 5P_462/2002 du 30 janvier 2003; Pdt TC 23 juillet 2001/37). En l'espèce, il convient de relever que le recourant se trompe lorsqu’il affirme que le montant de l’indemnité s’élève à 3’022 fr. 10, puisque cette somme comprend également l’émolument de décision, arrêté à 450 francs. Ainsi, le montant de l’indemnité d'office correspond en réalité à 2’572 fr. 10. Il ressort du décompte des opérations produit par le conseil d’office et versé au dossier que ce dernier a consacré treize heures et une minute au traitement de la cause. Ce temps est réparti entre la correspondance avec le client et l’avocat de la partie adverse, l’élaboration d’un projet de convention, l’essentiel du temps ayant toutefois été consacré à des déterminations sur un rapport du Service de protection de la jeunesse, qui détient la garde sur l’enfant du couple, née en 1997. A teneur de la convention sur les effets du divorce signée par le recourant et son ex-épouse les 18 avril et 2 mai 2011, modifiée par avenant signé les 19 et 22 juillet 2011, il apparaît que les questions relatives aux effets de la filiation étaient délicates et complexes. Initialement détenteur de l'autorité parentale et de la garde sur l'enfant du couple, le Service de la protection de la jeunesse est resté titulaire de la garde sur cette enfant, les parents - désormais titulaires de l'autorité parentale conjointe sur leur enfant - devant régler les modalités relatives à l’exercice de leur droit de visite directement avec ce service (ch. II de la convention). Dans ces circonstances, les déterminations de l'intimé étaient nécessaires, de sorte que les opérations et le temps consacré par celui-ci au dossier du recourant peuvent être approuvés. 4. Le recours doit être rejeté en application de l'art. 322 al. 1 CPC et la décision confirmée. L'arrêt est rendu sans frais (art. 119 al. 6 CPC par analogie). Il n'y a pas matière à allocation de dépens, l'intimé n'ayant pas été invité à se déterminé. Par ces motifs, la Chambre des recours civile du Tribunal cantonal, statuant à huis clos, en application de l'art. 322 al. 1 CPC, prononce : I. Le recours est rejeté. II. Le prononcé est confirmé. III. L'arrêt motivé, rendu sans frais, est exécutoire. Le président :               La greffière : Du 19 décembre 2011 Le dispositif de l'arrêt qui précède est communiqué par écrit aux intéressés. La greffière : Du L'arrêt qui précède, dont la rédaction a été approuvée à huis clos, est notifié en expédition complète, par l'envoi de photocopies, à : ‑ Me Jean-Marc Courvoisier (pour S.________), ‑ Me X.________. La Chambre des recours civile considère que la valeur litigieuse est de 2'572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