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715 vom 4. Oktober 2011</w:t>
      </w:r>
    </w:p>
    <w:p>
      <w:r>
        <w:t>VD Tribunal cantonal, 2011-10-04, FR</w:t>
      </w:r>
    </w:p>
    <w:p>
      <w:r>
        <w:rPr>
          <w:b/>
        </w:rPr>
        <w:t xml:space="preserve">Quelle: </w:t>
      </w:r>
      <w:r>
        <w:t>https://mcp.opencaselaw.ch/entscheid/vd_findinfo_HC___2011___715</w:t>
      </w:r>
    </w:p>
    <w:p>
      <w:r>
        <w:t>FR: VD_FINDINFO HC / 2011 / 715 du 4 octobre 2011</w:t>
      </w:r>
    </w:p>
    <w:p>
      <w:r>
        <w:t>IT: VD_FINDINFO HC / 2011 / 715 del 4 ottobre 2011</w:t>
      </w:r>
    </w:p>
    <w:p>
      <w:pPr>
        <w:pStyle w:val="Heading2"/>
      </w:pPr>
      <w:r>
        <w:t>Regeste</w:t>
      </w:r>
    </w:p>
    <w:p>
      <w:r>
        <w:t>DROIT D'ÊTRE ENTENDU, DROIT DE S'EXPLIQUER | 53 al. 1 CPC (CH)</w:t>
      </w:r>
    </w:p>
    <w:p>
      <w:pPr>
        <w:pStyle w:val="Heading2"/>
      </w:pPr>
      <w:r>
        <w:t>Erwägungen</w:t>
      </w:r>
    </w:p>
    <w:p>
      <w:r>
        <w:rPr>
          <w:b/>
        </w:rPr>
        <w:t>E. 1</w:t>
      </w:r>
    </w:p>
    <w:p>
      <w:r>
        <w:t>L'art. 110 CPC (Code de procédure civile du 19 décembre 2008; RS 272), ouvre la voie du recours séparé au sens de l'art. 319 let. b ch. 1 CPC contre les décision en matière de frais, ceux-ci comprenant les frais judiciaires et les dépens (art. 95 al. 1 CPC). La procédure simplifiée étant applicable au litige au fond, le délai de recours est de trente jours (art. 321 al. 1 CPC). Interjeté en temps utile, le recours est recevable.</w:t>
      </w:r>
    </w:p>
    <w:p>
      <w:r>
        <w:rPr>
          <w:b/>
        </w:rPr>
        <w:t>E. 2</w:t>
      </w:r>
    </w:p>
    <w:p>
      <w:r>
        <w:t>Le recours est ouvert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CPC Commenté, 2011, n. 4 ad art. 326 CPC, p. 1285). En l'espèce, on ne se trouve pas en présence de l'une des décisions susmentionnées, de sorte que les pièces produites en deuxième instance par la recourante sont irrecevables.</w:t>
      </w:r>
    </w:p>
    <w:p>
      <w:r>
        <w:rPr>
          <w:b/>
        </w:rPr>
        <w:t>E. 3</w:t>
      </w:r>
    </w:p>
    <w:p>
      <w:r>
        <w:t>a) La recourante fait valoir qu'elle n'a reçu les moyens de preuve de la revendication de l'intimé que le 10 mai 2011, soit postérieurement à l'échéance du délai d'opposition selon l'art. 107 al. 2 LP et qu'il convient de tenir compte de ce retard de l'intimé en ce qui concerne les dépens. L'intimé fait valoir que l'invitation à produire ses moyens de preuve lui a été notifiée durant les féries de Pâques, soit au plus tôt le 18 avril 2011 et qu'il a produit ces pièces sans délai. b) Selon l'art. 53 al. 1 CPC, les parties ont le droit d'être entendues. Ce droit comprend comme noyau celui d'être informé - savoir de recevoir les différentes prises de position exprimées dans la procédure, qu'elles émanent des autres parties ou, le cas échéant de l'autorité intimée (Haldy, CPC Commenté, 2011, n. 3 ad art. 53 CPC, p. 144) – et de s'exprimer sur ces éléments, oralement ou par écrit (Haldy, op. cit., n. 4 ad art. 54 CPC, p. 144).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op. cit., nn. 19 et 20 ad art. 53 CPC, p. 147. c) En l'espèce, selon les pièces du dossier de première instance, la demande portait sur du matériel de sonorisation qui était désigné dans le courrier de l'office des poursuite du 15 avril 2011 par les numéros 64, 69, 70 et 73. La lettre de la recourante du 11 mai 2011 n'utilise pas ces numéros, mais se réfère à des "annexes 2 à 5, indiquées au procès-verbal de saisie n° [...]". Le premier juge ne pouvait déduire de ces deux éléments que la renonciation à l'opposition de la recourante portait sur le matériel objet de la procédure ouverte devant lui et valait acquiescement. Il le pouvait d'autant moins que ce courrier ne lui avait pas été adressé par la recourante, mais transmise par l'intimé. Au vu de ces éléments et du droit de la recourante à être informée des écritures de sa partie adverse, il incombait au premier juge de transmettre à celle-là pour déterminations l'écriture de l'intimé du 12 mai 2011, ainsi que la demande, puisqu'il ne ressort pas du dossier que celle-ci ait été communiquée auparavant. Le droit d'être entendu de la recourante a été ainsi violé. Cette informalité est de nature à influer sur la décision relative aux dépens et ne peut être corrigée en deuxième instance, la cour de céans ne bénéficiant pas d'un plein pouvoir d'examen en fait (art. 320 let. b CPC). La décision doit en conséquence être annulée.</w:t>
      </w:r>
    </w:p>
    <w:p>
      <w:r>
        <w:rPr>
          <w:b/>
        </w:rPr>
        <w:t>E. 4</w:t>
      </w:r>
    </w:p>
    <w:p>
      <w:r>
        <w:t>En conclusion, le recours doit être admis et la décision attaquée annulée, la cause étant renvoyée au premier juge pour statuer à nouveau dans le sens des considérants. Les frais judiciaires de deuxième instance, fixés à 100 fr. (art. 69 et 70 al. 3 TFJC [tarif du 28 septembre 2010 des frais judiciaires civils; RSV 270.11.5]), sont au vu de l'admission du recours mis à la charge de l'intimé (art. 106 al. 1 CPC). Il n'y a pas lieu d'allouer de dépens à la recourante, celle-ci ayant agi sans l'assistance d'un mandataire professionnel et une indemnité selon l'art. 95 al. 3 let. c CPC ne se justifiant pas. Elle a droit en revanche au remboursement par l'intimé de son avance des frais de recours, par 100 fr. (art. 111 al. 2 CPC). Par ces motifs, la Chambre des recours civile du Tribunal cantonal, statuant à huis clos, prononce : I. Le recours est admis. II. La décision est annulée et la cause est renvoyée à la Juge de paix du district de Lausanne pour statuer à nouveau dans le sens des considérants. III. Les frais judiciaires de deuxième instance, arrêtés à 100 fr. (cent francs), sont mis à la charge de l'intimé V.________. IV. L'intimé V.________ doit verser à la recourante Confédération Suisse la somme de 100fr. (cent francs) à titre de restitution d'avance de frais de deuxième instance. V. L'arrêt motivé est exécutoire. Le président :               Le greffier : Du</w:t>
      </w:r>
    </w:p>
    <w:p>
      <w:r>
        <w:rPr>
          <w:b/>
        </w:rPr>
        <w:t>E. 7</w:t>
      </w:r>
    </w:p>
    <w:p>
      <w:r>
        <w:t>octobre 2011 Le dispositif de l'arrêt qui précède est communiqué par écrit aux intéressés. Le greffier : Du L'arrêt qui précède, dont la rédaction a été approuvée à huis clos, est notifié en expédition complète, par l'envoi de photocopies, à : ‑ Confédération Suisse Administration des contributions - Division TVA, ‑ Mme Martine Schlaeppi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