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714 vom 20. Dezember 2011</w:t>
      </w:r>
    </w:p>
    <w:p>
      <w:r>
        <w:t>VD Tribunal cantonal, 2011-12-20, FR</w:t>
      </w:r>
    </w:p>
    <w:p>
      <w:r>
        <w:rPr>
          <w:b/>
        </w:rPr>
        <w:t xml:space="preserve">Quelle: </w:t>
      </w:r>
      <w:r>
        <w:t>https://mcp.opencaselaw.ch/entscheid/vd_findinfo_HC___2011___714</w:t>
      </w:r>
    </w:p>
    <w:p>
      <w:r>
        <w:t>FR: VD_FINDINFO HC / 2011 / 714 du 20 décembre 2011</w:t>
      </w:r>
    </w:p>
    <w:p>
      <w:r>
        <w:t>IT: VD_FINDINFO HC / 2011 / 714 del 20 dicembre 2011</w:t>
      </w:r>
    </w:p>
    <w:p>
      <w:pPr>
        <w:pStyle w:val="Heading2"/>
      </w:pPr>
      <w:r>
        <w:t>Regeste</w:t>
      </w:r>
    </w:p>
    <w:p>
      <w:r>
        <w:t>PROTECTION DE L'UNION CONJUGALE, DROIT DE GARDE, RELATIONS PERSONNELLES | 176 al. 3 CC, 273 al. 1 CC, 298 CPC</w:t>
      </w:r>
    </w:p>
    <w:p>
      <w:pPr>
        <w:pStyle w:val="Heading2"/>
      </w:pPr>
      <w:r>
        <w:t>Erwägungen</w:t>
      </w:r>
    </w:p>
    <w:p>
      <w:r>
        <w:rPr>
          <w:b/>
        </w:rPr>
        <w:t>E. 1</w:t>
      </w:r>
    </w:p>
    <w:p>
      <w:r>
        <w:t>Le prononcé attaqué a été rendu le 8 novembre 2011, de sorte que les voies de droit sont régies par le Code de procédure civile du 19 décembre 2008 (ci-après CPC ; RS 272), entré en vigueur le 1 er janvier 2011 (art. 405 al. 1 CPC). 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L'appel relève de la compétence d'un juge unique (art. 84 al. 2 LOJV [loi vaudoise d'organisation judiciaire du 12 décembre 1979 ; RSV 173.01]). Formé en temps utile par une partie qui y a intérêt et portant sur des conclusions, qui, capitalisées selon l'art. 92 al. 2 CPC, sont supérieures à 10'000 francs, l'appel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(ibidem, p. 136). L'appel est principalement réformatoire. L'autorité d'appel ne peut qu'à titre exceptionnel renvoyer la cause en première instance, lorsqu'un élément essentiel de la demande n'a pas été examiné ou si l'état de fait doit être compété sur des points essentiels (ibidem, p. 148).</w:t>
      </w:r>
    </w:p>
    <w:p>
      <w:r>
        <w:rPr>
          <w:b/>
        </w:rPr>
        <w:t>E. 3</w:t>
      </w:r>
    </w:p>
    <w:p>
      <w:r>
        <w:t>a) Sans en faire formellement un moyen de nullité, mais en concluant néanmoins à la nullité à titre très subsidiaire, l'appelante relève "qu'il aurait été souhaitable que les enfants C.K.________ et B.K.________, tous deux âgés de plus de sept ans révolus, soient entendus" par le premier juge. b) Selon la jurisprudence du Tribunal fédéral (notamment dans un arrêt du 3 août 2011, 5A_467/2011 c. 6.1), l'audition des enfants découle directement de l'art. 12 de la Convention du 20 novembre 1989 de l'ONU relative aux droits de l'enfant (CDE, RS 0.107; sur ce point : ATF 124 III 90). Cette norme conventionnelle ne consacre toutefois pas de prérogatives plus larges que celles résultant de l'art. 144 al. 2 aCC (Code civil du 10 décembre 1907 ; RS 210) – depuis le 1 er janvier 2011, art. 298 CPC – (ATF 131 III 553 c. 1.1), respectivement de l'art. 314 ch. 1 CC (TF 5A_46/2007 du 23 avril 2007, c. 2.1). En vertu de cette dernière disposition, avant d'ordonner une mesure de protection de l'enfant, l'autorité tutélaire ou le tiers nommé à cet effet, entend l'enfant personnellement et de manière appropriée, pour autant que son âge ou d'autres motifs importants ne s'opposent pas à l'audition. L'audition de l'enfant constitue à la fois un droit de participation de l'enfant à la procédure qui le concerne et un moyen pour le juge d'établir les faits (TF 5C.316/2006 du 5 juillet 2007, c. 2 non publié aux ATF 133 III 553). Le Tribunal fédéral a cependant admis que lorsque l'enfant a déjà été entendu par un tiers, en général dans le cadre d'une expertise,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une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133 III 553 c. 4). La jurisprudence retient que les enfants peuvent être auditionnés dès qu'ils ont atteint l'âge de six ans révolus, voire même avant si des circonstances concrètes le justifient, sans exiger toutefois que ceux-ci soient capables de discernement; on doit ainsi admettre que, sauf circonstances spéciales, un âge inférieur à six ans s'oppose à une telle audition. A l'opposé, l'audition devient en principe incontournable à partir d'un âge situé entre 11 et 13 ans. Entre ces deux intervalles, ce sont les circonstances spécifiques du cas d'espèce qui conduiront le tribunal à statuer sur la nécessité ou non d'auditionner l'enfant au vu de son âge, sous réserve d'autres motifs de refus qui entrent en ligne de compte indépendamment du critère de l'âge (Nicolas Jeandin, Code de procédure civile commenté, 2011, n° 11 ad. art. 298 p. 1209 et références citées). c) En l'espèce, C.K.________ est actuellement âgé de 9 ans révolus et B.K.________ de</w:t>
      </w:r>
    </w:p>
    <w:p>
      <w:r>
        <w:rPr>
          <w:b/>
        </w:rPr>
        <w:t>E. 8</w:t>
      </w:r>
    </w:p>
    <w:p>
      <w:r>
        <w:t>En conclusion, manifestement infondé, l'appel doit être rejeté en application de l'art. 312 al. 1 CPC et le prononcé confirmé.</w:t>
      </w:r>
    </w:p>
    <w:p>
      <w:r>
        <w:rPr>
          <w:b/>
        </w:rPr>
        <w:t>E. 9</w:t>
      </w:r>
    </w:p>
    <w:p>
      <w:r>
        <w:t>La requête d'assistance judiciaire doit être admise, l'appel n'apparaissant pas d'emblé dépourvu de toutes chances de succès (art. 117 CPC). Les frais judiciaires de deuxième instance, fixés à 600 fr. (art. 65 al. 2 TFJC [tarif des frais judiciaires civils du 28 septembre 2010; RSV 270.11.5]), sont laissés à la charge de l'Etat (art. 106 al. 1 CPC). Dans une liste d'opérations du 19 décembre 2011, Me Franck-Olivier Karlen, conseil de la requérante, a fait état de neuf heures et cinquante minutes de travail et de 15 fr. de débours pour la période du 10 novembre au 16 décembre 2011. L'appel étant daté du 21 novembre 2011 et l'argumentation qu'il comporte tenant sur trois pages, le temps indiqué, constitué apparemment de courriels et de communications sans réelle portée juridique, est excessif et doit être ramené en équité à cinq heures, plus débours et TVA, soit 973 fr. 20 (180 fr. x 5 = 900 fr.) + 15 fr. = 915 fr. + (915 fr. x 8 % = 73 fr. 20). Il n'y a pas lieu d'accorder des dépens à l'intimé, dès lors que celui-ci n'a pas été invité à se déterminer. Par ces motifs, le juge délégué de la Cour d’appel civile du Tribunal cantonal, statuant à huis clos, en application de l'art. 312 al. 1 CPC, prononce : I. L'appel est rejeté. II. Le prononcé est confirmé. III. La requête d'assistance judiciaire est admise. IV. Les frais judiciaires de deuxième instance, arrêtés à 600 fr. (six cents francs), sont laissés à la charge de l'Etat. V. L'indemnité d'office de Me Franck-Olivier Karlen, conseil de l'appelante H.K.________, est arrêtée à 900 fr. (neuf cents francs), plus 73 fr. 20 (septante-trois francs et vingt centimes) de TVA et 15 fr. (quinze francs) de débours. VI. La bénéficiaire de l'assistance judiciaire est, dans la mesure de l'art. 123 CPC, tenue au remboursement des frais judiciaires et de l'indemnité au conseil d'office mis à la charge de l'Etat. VII. L'arrêt motivé est exécutoire. Le juge délégué : La greffière : Du 21 décembre 2011. Le dispositif de l'arrêt qui précède est communiqué par écrit aux intéressés. La greffière : Du L'arrêt qui précède, dont la rédaction a été approuvée à huis clos, est notifié en expédition complète, par l'envoi de photocopies à : ‑ Me Franck-Olivier Karlen (pour H.K.________), ‑ Me Jean-Paul Maire (pour A.K.________).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