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712 vom 12. Dezember 2011</w:t>
      </w:r>
    </w:p>
    <w:p>
      <w:r>
        <w:t>VD Tribunal cantonal, 2011-12-12, FR</w:t>
      </w:r>
    </w:p>
    <w:p>
      <w:r>
        <w:rPr>
          <w:b/>
        </w:rPr>
        <w:t xml:space="preserve">Quelle: </w:t>
      </w:r>
      <w:r>
        <w:t>https://mcp.opencaselaw.ch/entscheid/vd_findinfo_HC___2011___712</w:t>
      </w:r>
    </w:p>
    <w:p>
      <w:r>
        <w:t>FR: VD_FINDINFO HC / 2011 / 712 du 12 décembre 2011</w:t>
      </w:r>
    </w:p>
    <w:p>
      <w:r>
        <w:t>IT: VD_FINDINFO HC / 2011 / 712 del 12 dicembre 2011</w:t>
      </w:r>
    </w:p>
    <w:p>
      <w:pPr>
        <w:pStyle w:val="Heading2"/>
      </w:pPr>
      <w:r>
        <w:t>Regeste</w:t>
      </w:r>
    </w:p>
    <w:p>
      <w:r>
        <w:t>PROTECTION DE L'UNION CONJUGALE, LOGEMENT | 176 al. 1 ch.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p. 121). Les ordonnances de mesures protectrices de l'union conjugale étant régies par la procédure sommaire (art.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non patrimoniales, le présent appel est recevable.</w:t>
      </w:r>
    </w:p>
    <w:p>
      <w:r>
        <w:rPr>
          <w:b/>
        </w:rPr>
        <w:t>E. 2</w:t>
      </w:r>
    </w:p>
    <w:p>
      <w:r>
        <w:t>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Bâle 2011, n. 7 ad art. 317 CPC, p. 1266).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Tappy) considère qu'en appel les novas sont soumis au régime ordinaire (en ce sens Tappy, JT 2010 III 115; Hohl, Procédure civile, t. II, 2 e éd., Berne 2010, n. 2410 p. 437). Les parties peuvent toutefois faire valoir que le juge de première instance a violé la maxime inquisitoire en ne prenant pas en considération certains faits (Hohl, op. cit., n. 2414 p. 438). En l’espèce, l’appelante produit un nouveau bordereau de pièces, soit une copie du constat médical du docteur [...] du 7 juillet 2011 (pièce n° 1), une copie de la plainte pénale déposée le 10 mai 2011 contre l'intimé (pièce n° 2), une copie de l'extension de la plainte pénale déposée le 12 juillet 2011 (pièce n° 3), une copie de la requête en vue d'expulsion déposée le 12 juillet 2011 (pièce n° 4), ainsi qu'une copie d'une déclaration de son employeur, datée du 27 mai 2011  (pièce n° 5). Les pièces n° 1, 3 et 4 sont postérieures au prononcé entrepris. Elles sont dès lors recevables en appel. En revanche, pour les pièces nos 2 et 5, l'appelante n'indique pas pour quel motif elle n'aurait pas été en mesure de les produire devant le premier juge. Il n'en sera donc pas tenu compte dans le cadre de l'appel.</w:t>
      </w:r>
    </w:p>
    <w:p>
      <w:r>
        <w:rPr>
          <w:b/>
        </w:rPr>
        <w:t>E. 3</w:t>
      </w:r>
    </w:p>
    <w:p>
      <w:r>
        <w:t>a) L'appelante allègue qu'il ne lui a pas été possible de développer un vaste réseau lui permettant de se procurer rapidement un logement, contrairement à l'intimé. Elle n'aurait pas de revenus, ce qui rendrait vaine la recherche d'un logement, et ne disposerait pas du permis de conduire. En outre, elle a subi des actes de violence physique et verbale de la part de l'intimé, à propos desquelles elle a ouvert une procédure pénale et une procédure d'expulsion. Selon l'art. 176 al. 1 ch. 2 CC (Code civil suisse du 10 décembre 1907; RS 210), à la requête d'un des conjoints et si la suspension de la vie commune est fondée, le juge prend les mesures en ce qui concerne le logement et le mobilier de ménage. Le mariage entraîne en principe le devoir pour les époux de vivre ensemble, mais ils ne peuvent y être contraints. La cessation de la vie commune peut intervenir à la suite d'un commun accord, à l'initiative de l'un d'eux ou en raison de circonstances particulières. La suspension de la vie commune relève entièrement de la décision, unilatérale ou commune, des époux. Ni l'approbation, ni la ratification par le juge n'est nécessaire (Deschenaux/Steinauer/Baddeley, Les effets du mariage, 2 e éd., Berne 2009, n. 570 p. 291). Le jugement a un effet purement déclaratif (Chaix, Commentaire romand, n. 2 ad art. 175 CC, p. 1231; CACI 5 avril 2011/34). Le juge des mesures protectrices de l'union conjugale tranche la question de l'attribution provisoire du logement conjugal à l'une des parties en fonction de l'opportunité et indépendamment de la question de savoir qui en est le propriétaire ou le locataire. Le logement de la famille peut être défini comme un local à usage d’habitation qui, par la volonté des époux, est destiné à les abriter, eux et leurs enfants, de façon durable et reconnaissable pour les tiers (Werro, Concubinage, mariage et démariage, 2000, n. 576 p. 129). S'il n'est pas possible de déterminer avec précision à qui la maison ou l'appartement sera le plus utile, c'est l'époux dont on peut raisonnablement l'exiger le plus aisément, compte tenu de toutes les circonstances, qui doit déménager (ATF 120 II 1 c. 2c, JT 1996 I 323).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publié in JT 2010 I 341 c. 3.1 et 3.2). b) En l'espèce, l'intimé a conclu un contrat de bail portant sur l'appartement litigieux le 3 août 2008, postérieurement au mariage des parties qui a eu lieu le 12 septembre 2007 (cf. pièce n° 4 du bordereau du requérant du 19 avril 2011). Il est ainsi vraisemblable que l'intimé a pris cet appartement pour « essayer de se séparer de son épouse en déménageant à [...] », comme allégué dans sa correspondance du 6 mars 2011 au Tribunal d'arrondissement. Ceci justifie déjà que le logement conjugal lui soit attribué dans le cadre des mesures protectrices de l'union conjugale. En outre, l'intimé exerce son activité professionnelle à [...] , alors que l'appelante a travaillé à Lausanne, en tous les cas jusqu'au mois de juin 2011. L'appelante allègue être en recherche d'emploi, mais ne produit aucune pièce propre à rendre vraisemblable qu'elle est actuellement sans travail. Elle indique ne pas avoir de permis de conduire, ce qui rendrait la recherche d'un appartement plus compliquée. Cet argument n'est toutefois pas pertinent dès lors qu'en l'absence de permis, l'appelante devra de toute manière trouver un logement qui soit accessible en transport public. Enfin, l'appelante insiste sur les violences physiques et verbales dont elle aurait fait l'objet avant et après le prononcé de mesures protectrices de l'union conjugale. Or, les parties ont été autorisées à vivre de manière séparée et le juge des mesures protectrices de l'union conjugale n'a pas à tenir compte d'un éventuel comportement fautif de l'une ou l'autre des parties pour attribuer le logement conjugal.</w:t>
      </w:r>
    </w:p>
    <w:p>
      <w:r>
        <w:rPr>
          <w:b/>
        </w:rPr>
        <w:t>E. 4</w:t>
      </w:r>
    </w:p>
    <w:p>
      <w:r>
        <w:t>Il s'ensuit qu'en définitive, l'appel doit être rejeté dans la procédure de l'art. 312 al. 1 er CPC et l'ordonnance de mesures protectrices de l'union conjugale confirmée. Les frais judiciaires de deuxième instance sont arrêtés à 600 fr. (art. 65 al. 2 TFJC [tarif des frais judiciaires civils du 28 septembre 2010; RSV 270.11.5]) et laissés à la charge de l'Etat (art. 122 al. 1 let. b CPC), l'appelante plaidant au bénéfice de l'assistance judiciaire. Me David Métille, conseil d'office de l'appelante, a droit à une rémunération équitable pour ses opérations et débours dans la procédure d'appel (art. 122 al. 1 let. a CPC). Le relevé des opérations, qu'il a produit le 8 décembre 2011 et qui annonce 7 heures et 40 minutes consacrées à l'exercice de son mandat, peut être admis. Le tarif horaire étant de 180 fr. (art. 2 al. 1 let. a RAJ [règlement sur l'assistance judiciaire en matière civile du 7 décembre 2010; RSV 211.02.03]), l'indemnité d'office de Me David Métille doit ainsi être arrêtée à 1'490 fr. 40, soit 1'380 francs pour ses honoraires, plus 110 fr. 40 de TVA, et 29 fr. de débours, plus 2 fr. 55 de TVA, ce qui fait au total 1'521 fr. 95, arrondis à 1'522 francs. Dans la mesure de l'art. 123 CPC, la bénéficiaire de l'assistance judiciaire est tenue au remboursement des frais judiciaires et de l'indemnité au conseil d'office mis à la charge de l'Etat. N'ayant pas été invité à se déterminer dans la procédure d'appel, l'intimé n’a pas droit à des dépens de deuxième instance. Par ces motifs, le juge délégué de la Cour d’appel civile du Tribunal cantonal, statuant à huis clos, en application de l'art. 312 al. 1 CPC, prononce : I. L’appel est rejeté. II. Le prononcé est confirmé. III. Les frais judiciaires de deuxième instance de l'appelante S.________, arrêtés à 600 fr. (six cents francs), sont laissés à la charge de l'Etat. IV. L'indemnité d'office de Me David Métille, conseil de l'appelante, est arrêtée à 1'522 fr. (mille cinq cent vingt-deux francs), TVA et débours compris. V. La bénéficiaire de l'assistance judiciaire est, dans la mesure de l'art. 123 CPC, tenue au remboursement des frais judiciaires et de l'indemnité au conseil d'office mis à la charge de l'Etat. VI. L'arrêt motivé est exécutoire. Le juge délégué : La greffière : Du 21 décembre 2011 Le dispositif de l'arrêt qui précède est communiqué par écrit aux intéressés. La greffière : Du L'arrêt qui précède, dont la rédaction a été approuvée à huis clos, est notifié en expédition complète, par l'envoi de photocopies, à : ‑ Me David Métille (pour S.________, ‑ Me Eric Kaltenrieder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