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680 vom 8. Dezember 2011</w:t>
      </w:r>
    </w:p>
    <w:p>
      <w:r>
        <w:t>VD Tribunal cantonal, 2011-12-08, FR</w:t>
      </w:r>
    </w:p>
    <w:p>
      <w:r>
        <w:rPr>
          <w:b/>
        </w:rPr>
        <w:t xml:space="preserve">Quelle: </w:t>
      </w:r>
      <w:r>
        <w:t>https://mcp.opencaselaw.ch/entscheid/vd_findinfo_HC___2011___680</w:t>
      </w:r>
    </w:p>
    <w:p>
      <w:r>
        <w:t>FR: VD_FINDINFO HC / 2011 / 680 du 8 décembre 2011</w:t>
      </w:r>
    </w:p>
    <w:p>
      <w:r>
        <w:t>IT: VD_FINDINFO HC / 2011 / 680 del 8 dicembre 2011</w:t>
      </w:r>
    </w:p>
    <w:p>
      <w:pPr>
        <w:pStyle w:val="Heading2"/>
      </w:pPr>
      <w:r>
        <w:t>Regeste</w:t>
      </w:r>
    </w:p>
    <w:p>
      <w:r>
        <w:t>TRANSACTION{ACCORD}, RÉVISION{DÉCISION}, CHOSE JUGÉE | 319 let. a CPC (CH), 328 al. 1 let. a CPC (CH)</w:t>
      </w:r>
    </w:p>
    <w:p>
      <w:pPr>
        <w:pStyle w:val="Heading2"/>
      </w:pPr>
      <w:r>
        <w:t>Erwägungen</w:t>
      </w:r>
    </w:p>
    <w:p>
      <w:r>
        <w:rPr>
          <w:b/>
        </w:rPr>
        <w:t>E. 1</w:t>
      </w:r>
    </w:p>
    <w:p>
      <w:r>
        <w:t>Depuis l'entrée en vigueur le 1 er janvier 2011 du CPC, les recours sont régis par le droit en vigueur au moment de la communication de la décision aux parties (art. 405 al. 1 CPC). En l'occurrence, le jugement attaqué a été rendu sous forme de dispositif notifié aux parties le 11 août 2011, de sorte que ce sont les règles contenues dans le CPC qui sont applicables.</w:t>
      </w:r>
    </w:p>
    <w:p>
      <w:r>
        <w:rPr>
          <w:b/>
        </w:rPr>
        <w:t>E. 2</w:t>
      </w:r>
    </w:p>
    <w:p>
      <w:r>
        <w:t>let. a CPC), le présent recours est recevable à la forme.</w:t>
      </w:r>
    </w:p>
    <w:p>
      <w:r>
        <w:rPr>
          <w:b/>
        </w:rPr>
        <w:t>E. 3</w:t>
      </w:r>
    </w:p>
    <w:p>
      <w:r>
        <w:t>Le recourant conteste les deux motifs retenus par le premier juge pour considérer que la demande de révision est irrecevable, savoir qu'il n'existe pas de décision entrée en force susceptible d'être révisée d'une part et que le recourant ne serait pas partie à la procédure au fond d'autre part. a) Le premier juge, procédant à l'examen d'office des conditions de la recevabilité de l'action conformément aux art. 59 et 60 CPC, a relevé qu'une partie peut demander au tribunal qui a statué en dernière instance la révision d'une décision à la condition qu'elle soit entrée en force (art. 328 al. 1 CPC); or, en l'espèce, il a considéré que tel n'était pas le cas. En effet, par requête de conciliation déposée le 8 mars 2011, dans le cadre d'un conflit de travail l'opposant à Y.________Sàrl, F.________ a pris des conclusions pécuniaires fondées sur un contrat de travail. Dans cette procédure, une convention a été passé à l'audience de conciliation du 7 avril 2011, selon laquelle la défenderesse et T.________, directeur de cette société et de son vrai nom T.________, s'engagent, solidairement entre eux, à verser au demandeur une somme de 25'000 fr. en raison des rapports de travail qui les ont liés, somme payable par mensualités de 2'500 francs. Les signataires de cette convention ont requis et obtenu la suspension de la procédure de conciliation jusqu'à complet paiement de la somme convenue. Cette procédure est donc actuellement suspendue. Par conséquent, c'est à bon droit que le premier juge a déclaré irrecevable la demande de révision. Le recourant ne conteste d'ailleurs pas l'absence en l'espèce d'une décision entrée en force. Il soutient toutefois qu'il ne disposerait d'aucune voie de droit pour faire modifier cette convention, ni pour reprendre la cause, pas plus que la société qui est sa codébitrice dans le cadre de cette convention, puisque, selon les termes de cet accord (cf. ch. III), seul F.________ peut requérir la reprise de cause en cas de non paiement. Il en déduit que cette transaction a pour lui les mêmes effets qu'une décision définitive et exécutoire, de sorte que la voie de la révision au sens de l'art. 328 CPC doit lui être ouverte. Le recourant fait erreur. En aucun cas la transaction passée ne peut être assimilée à une décision entrée en force au sens de l'art. 328 CPC, puisqu'elle n'a pas mis fin à la procédure, les parties ayant requis la suspension de celle-ci. Au vu des éléments allégués dans sa demande de révision, à savoir que le recourant a signé la convention en ignorant qu'F.________ avait déjà touché de la Caisse cantonale de chômage une somme de 11'000 fr. au titre de l'indemnité en cas d'insolvabilité, tout au plus peut-on émettre l'hypothèse que le recourant invoque l'erreur ou le dol, ce qu'il devrait ou aurait dû faire valoir par la voie de l'invalidation au sens de l'art. 31 CO (Code des obligations du 30 mars 1911; RS 220). Quoi qu'il en soit, son moyen de recours doit être écarté. Au vu de ce qui précède, la demande de révision était bien irrecevable de sorte qu'il n'est pas nécessaire d'examiner le second moyen du recourant.</w:t>
      </w:r>
    </w:p>
    <w:p>
      <w:r>
        <w:rPr>
          <w:b/>
        </w:rPr>
        <w:t>E. 4</w:t>
      </w:r>
    </w:p>
    <w:p>
      <w:r>
        <w:t>En définitive, le recours, manifestement infondé, doit être rejeté dans la procédure de l'art. 322 al. 1 CPC et le jugement confirmé. Les frais judiciaires de deuxième instance sont arrêtés à 550 fr. (art. 69 al. 1 TFJC [tarif des frais judiciaires civils du 28 septembre 2010; RSV 211.02.03) et mis à la charge du recourant qui succombe (art. 106 al. 1 CPC). L'intimé ne s'étant pas déterminé dans le cadre de la procédure de recours (art. 322 al. 1 CPC), il n'a pas droit à des dépens de deuxième instance. Par ces motifs, la Chambre des recours civile du Tribunal cantonal, statuant à huis clos, en application de l'art. 322 al. 1 CPC, prononce : I. Le recours est rejeté. II. Le jugement incident rendu le 11 août 2011 par la Présidente du Tribunal civil de l'arrondissement de l'Est vaudois est confirmé. III. Les frais judiciaires de deuxième instance, arrêtés à 550 fr. (cinq cent cinquante francs), sont mis à la charge du recourant T.________. IV. L'arrêt motivé est exécutoire. Le président :               Le greffier : Du</w:t>
      </w:r>
    </w:p>
    <w:p>
      <w:r>
        <w:rPr>
          <w:b/>
        </w:rPr>
        <w:t>E. 9</w:t>
      </w:r>
    </w:p>
    <w:p>
      <w:r>
        <w:t>décembre 2011 Le dispositif de l'arrêt qui précède est communiqué par écrit aux intéressés. Le greffier : Du L'arrêt qui précède, dont la rédaction a été approuvée à huis clos, est notifié en expédition complète, par l'envoi de photocopies, à : ‑ Me Lise-Marie Gonzalez Pennec (pour T.________), ‑ Me Séverine Berger (pour F.________). La Chambre des recours civile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