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679 vom 11. November 2011</w:t>
      </w:r>
    </w:p>
    <w:p>
      <w:r>
        <w:t>VD Tribunal cantonal, 2011-11-11, FR</w:t>
      </w:r>
    </w:p>
    <w:p>
      <w:r>
        <w:rPr>
          <w:b/>
        </w:rPr>
        <w:t xml:space="preserve">Quelle: </w:t>
      </w:r>
      <w:r>
        <w:t>https://mcp.opencaselaw.ch/entscheid/vd_findinfo_HC___2011___679</w:t>
      </w:r>
    </w:p>
    <w:p>
      <w:r>
        <w:t>FR: VD_FINDINFO HC / 2011 / 679 du 11 novembre 2011</w:t>
      </w:r>
    </w:p>
    <w:p>
      <w:r>
        <w:t>IT: VD_FINDINFO HC / 2011 / 679 del 11 novembre 2011</w:t>
      </w:r>
    </w:p>
    <w:p>
      <w:pPr>
        <w:pStyle w:val="Heading2"/>
      </w:pPr>
      <w:r>
        <w:t>Regeste</w:t>
      </w:r>
    </w:p>
    <w:p>
      <w:r>
        <w:t>MESURE PROVISIONNELLE, OBLIGATION D'ENTRETIEN, REVENU HYPOTHÉTIQUE, VENTE D'IMMEUBLE | 163 CC, 261 al. 1 CPC (CH), 276 al. 1 CPC (CH)</w:t>
      </w:r>
    </w:p>
    <w:p>
      <w:pPr>
        <w:pStyle w:val="Heading2"/>
      </w:pPr>
      <w:r>
        <w:t>Erwägungen</w:t>
      </w:r>
    </w:p>
    <w:p>
      <w:r>
        <w:rPr>
          <w:b/>
        </w:rPr>
        <w:t>E. 1</w:t>
      </w:r>
    </w:p>
    <w:p>
      <w:r>
        <w:t>a) La décision attaquée a été rendue le 31 août 2011, de sorte que les voies de droit sont régie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Tappy, op. cit., p. 136). b) Les faits et moyens de preuve nouveaux ne sont pris en compte que s'ils sont invoqués ou produits sans retard et ne pouvaient être invoqués ou produits devant la première instance bien que la partie qui s'en prévaut ait fait la preuve de la diligence requise, ces deux conditions étant cumulatives (art. 317 al. 1 CPC; Tappy, op. cit., p. 138). Il appartient aux parties de démontrer que ces conditions sont réalisées, de sorte que l'appel doit indiquer spécialement les faits et preuves nouveaux et motiver spécialement les raisons qui les rendent admissibles selon lui (JT 2011 III 43;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ou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sur le tout: JT 2011 III 43). c) En l'espèce, seules sont litigieuses les questions de la contribution d'entretien en faveur de l'intimée et de la réalisation de l'immeuble dont les parties sont copropriétaires. Les pièces ne sont recevables en deuxième instance qu'aux conditions restrictives de l'art. 317 CPC, dont l'appelant n'établit pas qu'elles seraient réalisées. Les pièces produites à l'appui de l'appel sont dès lors irrecevables. Elles ne sont de toute manière pas déterminantes.</w:t>
      </w:r>
    </w:p>
    <w:p>
      <w:r>
        <w:rPr>
          <w:b/>
        </w:rPr>
        <w:t>E. 3</w:t>
      </w:r>
    </w:p>
    <w:p>
      <w:r>
        <w:t>a) L'appelant soutient que le raisonnement du premier juge relève d'une application arbitraire des règles fixant le principe d'une contribution d'entretien due à l'épouse. En effet, A.M.________ estime que ce raisonnement ne tient pas compte du temps écoulé depuis qu'il a été imposé à l'intimée, par ordonnance de mesures provisionnelles du 7 septembre 2010, de se réinsérer professionnellement, ni du fait que les recherches d'emploi qu'elle a produites ne remontent pas à cette période. L'appelant reproche également au premier juge de ne pas avoir tenu compte du fait que B.________ n'a produit aucune pièce justifiant le montant perçu de l'assurance chômage et ses charges courantes. b)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Il appartient au requérant à la modification d'établir, ou du moins de rendre vraisemblable, ce changement de circonstances (art. 8 CC). c) En l'espèce, dans son ordonnance du 7 septembre 2010, fixant le montant de la contribution d'entretien due à l'intimée à 2'500 fr. par mois dès le 1 er septembre 2010, le Président du Tribunal civil de l'arrondissement de La Côte avait considéré ce qui suit: " Il avait été retenu dans le jugement d'appel sur mesures provisionnelles du 23 mars 2010 que la requérante disposait d'une capacité de gain de l'ordre de 1'200 fr. à temps partiel. Ce nonobstant, la pension due par A.M.________ en faveur des siens avait été maintenue à 4'410 fr., afin de permettre à l'intimée de mettre à jour ses connaissances informatiques et de retrouver un emploi, sans que B.M.________ ne pâtisse de la situation. Il était toutefois précisé que « si elle n'entreprend rien de sérieux, ni de concret rapidement, ce montant sera susceptible d'être revu pour tenir compte de sa capacité de gain. » Lors de l'audience du 30 août 2010, l'intimée a déclaré qu'elle n'avait effectué aucune recherche d'emploi. Au vu de ses qualifications professionnelles, de son âge et de son état de santé, elle devrait néanmoins être parfaitement à même de retrouver un emploi si elle effectuait l'effort nécessaire en ce sens. A un taux d'occupation de 100 %, l'on peut ainsi attendre de l'intimée qu'elle réalise un revenu mensuel d'à tout le moins 3'500 fr. à 4'000 francs. (…) Compte tenu de sa capacité de gain à hauteur d'au moins 3'500 francs, l'intimée est en mesure de couvrir ses charges. (…) La situation financière du requérant n'a pas évolué depuis le jugement d'appel sur mesures provisionnelles du 23 mars 2010, à l'exception des frais supplémentaires liés à la garde d'B.M.________. Toutefois, dès le mois de janvier 2011 son salaire sera diminué proportionnellement à la réduction de son taux d'occupation. Il devrait également déménager à [...] prochainement, si bien qu'il conviendra de réexaminer sa situation financière dans un avenir proche. Afin d'éviter que l'intimée ne se retrouve brutalement complètement dépourvue et au vu du réexamen nécessaire de la situation financière du requérant à intervenir, il convient en l'état de laisser une contribution d'entretien minime en faveur de B.________ à la charge de A.M.________, soit un montant mensuel de 2'500 francs. Si l'intimée persistait toutefois à ne pas effectuer de démarches en vue de retrouver un emploi, dite contribution pourra alors être réduite, voire supprimée ". L'appelant ne remet pas en cause la mesure dans laquelle le premier juge a tenu compte de l'élément nouveau que constituait la diminution de son taux d'activité à 90 % - son revenu mensuel passant de 18'660 fr. à 16'795 fr. par mois – et le fait qu'il avait déménagé pour s'installer dans un appartement dont le loyer était de 3'500 fr., tout en continuant à assumer seul l'entier des charges de l'appartement conjugal par 3'750 fr., justifiant la réduction de la contribution d'entretien à 2'000 francs par mois. Il plaide uniquement que le premier juge devait retenir que l'intimée était en mesure de s'assumer elle-même financièrement. d)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d'elle qu'elle 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Pour arrêter le montant du salaire, le juge peut éventuellement se baser sur l'enquête suisse sur la structure des salaires, réalisée par l'Office fédéral de la statistique, ou sur d'autres sources (conventions collectives de travail; Philipp Mühlauser, Das Lohnbuch 2010, Mindestlöhne sowie orts- und berufübliche Löhne in der Schweiz, Zurich 2011; ATF 137 III 118 c. 3.2; TF 5A_99/2011 du 26 septembre 2011 c. 7.4.1 destiné à la publication). Les principes relatifs au revenu hypothétique valent tant pour le débiteur que pour le créancier d'entretien; un revenu hypothétique peut en effet aussi être imputé au créancier d'entretien (TF 5A_838/2009 du 6 mai 2010, in FamPra.ch 2010 n° 45 p. 669; TF 5P.63/2006 du 3 mai 2006 c. 3.2). Même si le fait qu'un époux sans emploi n'ait pas vu ses indemnités suspendues, à titre de sanction, par une assurance sociale ne dispense pas le juge civil d'examiner si on peut lui imputer un revenu hypothétique (ATF 137 III 118 c. 3.1), le versement régulier d'indemnités de chômage sans suspension constitue un indice permettant de retenir, en fait, qu'une personne a entrepris tout ce qu'on pouvait raisonnablement exiger d'elle pour éviter de se retrouver sans revenus et, partant, qu'elle a fait des recherches pour retrouver un emploi (TF 5A_99/2011 du 26 septembre 2011 c. 7.4.2; TF 5A_724/2009 du 26 avril 2010 c. 5.3, publié in FamPra.ch 2010 673). e) En l'espèce, le premier juge a considéré, comme il l'avait déjà retenu dans son ordonnance du 7 septembre 2010, que l'intimée était en mesure de réaliser un revenu de l'ordre de 3'500 fr., lui permettant de couvrir ses charges incompressibles. Pour le surplus, il a estimé que l'on ne pouvait augmenter en l'état la capacité contributive de l'intimée, dès lors qu'elle avait fait les démarches que l'on pouvait attendre d'elle pour retrouver un emploi. Il résulte des pièces produites que l'intimée est inscrite au chômage et a effectué deux ou trois recherches d'emploi dès le mois de septembre 2010, puis une dizaine de recherche par mois dès le début de l'année 2011. Elle a ainsi entrepris toutes démarches que l'on pouvait exiger d'elle et l'appréciation du premier juge sur sa capacité contributive peut être confirmée. Il n'est au demeurant pas établi que ses recherches seraient insuffisamment diversifiées L'appelant fait valoir encore que l'intimée n'a produit aucune pièce justifiant le montant qu'elle perçoit du chômage. Portant le fardeau de la preuve d'une modification des circonstances, il lui incombait cependant de requérir en première instance production de ces pièces, en vertu de son devoir de collaboration, s'il entendait faire valoir que les indemnités de chômage étaient supérieures à la capacité contributive de 3'500 fr. retenue par le premier juge, ce qu'il n'a pas fait. Au demeurant, il apparaît peu vraisemblable que ces indemnités soient supérieures à ce montant, son gain assuré – au maximum de 153 fr. par jour – étant fixé forfaitairement, dès lors que l'intimée n'a pas eu d'activité lucrative dans les années précédentes (art. 14 et 23 LACI [Loi fédérale du 25 juin 1982 sur l’assurance-chômage obligatoire et l’indemnité en cas d’insolvabilité, RS 837.0] et 41 OACI [Ordonnance du 31 août 1983 sur l’assurance-chômage obligatoire et l’indemnité en cas d’insolvabilité, RS 837.02]) et l'indemnité journalière s'élevant à 70 % du gain assuré, lorsque l'assuré n'a pas d'obligation d'entretien envers un enfant de moins de vingt-cinq ans (art. 22 al. 2 LACI). Le moyen est infondé et la contribution d'entretien fixée peut être confirmée.</w:t>
      </w:r>
    </w:p>
    <w:p>
      <w:r>
        <w:rPr>
          <w:b/>
        </w:rPr>
        <w:t>E. 4</w:t>
      </w:r>
    </w:p>
    <w:p>
      <w:r>
        <w:t>a) S'agissant de la réalisation du bien-fonds en copropriété des époux, l'appelant fait valoir que l'action en partage d'un bien en copropriété peut se concevoir indépendamment d'un divorce. b) Le premier juge a considéré qu'il ne disposait d'aucun moyen pour se substituer à l'accord de l'intimée dans le cadre de la réalisation de cet immeuble ni pour donner plein pouvoir au requérant de procéder à la vente sans l'accord de son épouse et que, sans l'accord des deux parties, la question de la vente devra dès lors être réglée dans le cadre de la liquidation du régime matrimonial. c) S'il est loisible dans certaines circonstances au juge du divorce de renvoyer la liquidation du régime matrimonial ou des conclusions tendant au partage de la copropriété à une procédure séparée (ATF 98 II 321, JT 1973 I 349), il y a lieu de constater qu'en l'espèce les conclusions litigieuses ont été prises dans le cadre de la procédure de divorce. Le moyen est donc sans pertinence. d) Au demeurant, à supposer le moyen pertinent, les conditions d'urgence et de risque de préjudice irréparable devraient être réalisées. A.M.________ fait valoir que, compte tenu de la situation patrimoniale des parties, du prix de vente proposé qui couvre le prix du marché établi par expertise versée au dossier, de l'attitude déraisonnable de l'intimée qui s'oppose à la vente sans motif, de la présence d'acheteurs disposés à acquérir le bien au prix formulé et du risque concret qu'ils se désistent, il s'impose de procéder rapidement, les délais de procédure au fond devant également être pris en considération. da) Aux termes de l'art. 261 al. 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Le requérant doit rendre vraisemblable, sur la base d'éléments objectifs, qu'un danger imminent menace ses droits, soit qu'ils risquent de ne plus pouvoir être consacrés ou seulement tardivement. Par préjudice, on entend tant les dommages patrimoniaux que les dommages immatériels. Le risque de préjudice difficilement réparable suppose l'urgence (cf. Bohnet, CPC commenté, 2011, nn. 10 ss ad art. 261 CPC, p. 1020).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(cf. Hohl, Procédure civile, 2010, nn. 2799 ss, p. 233, n. 2837, p. 239 et nn. 2877 ss, p. 246).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(Hohl, op. cit., nn. 2820 s., p. 236).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nn. 14 ss ad art. 261 CPC, p. 1021 et les références citées). db) En l'espèce, les arguments de l'appelant, à savoir la situation patrimoniale des parties, le prix de vente proposé pour l'achat du bien immobilier, le refus sans motif de l'intimée à la vente de l'immeuble et le risque de désistement de l'acheteur potentiel, rendent vraisemblables tout au plus l'opportunité d'une vente, ce qui ne suffit pas au regard des exigences légales. Ils ne permettent pas de retenir un risque de préjudice irréparable. Il n'est pas établi, ni même rendu vraisemblable, que, si l'acheteur potentiel – dont l'offre échéait au 31 août 2011 et dont on ignore s'il est aujourd'hui toujours intéressé – devait se désister, aucun autre amateur ne pourrait être trouvé à moyen terme au même prix, voire à un prix supérieur. La demande de biens immobiliers dans la région de La Côte reste en effet très forte. Au demeurant, l'appelant ne fait qu'affirmer, sans nullement le prouver, ne plus être en mesure de payer les charges hypothécaires. En particulier, il n'est pas établi que la banque aurait résilié le contrat de prêt hypothécaire ou serait sur le point de le faire, en raison de retards dans le règlement des charges, ni même que l'appelant serait en retard dans le paiement de ces charges. Cela étant, l'urgence n'est pas établie. Le moyen est également infondé.</w:t>
      </w:r>
    </w:p>
    <w:p>
      <w:r>
        <w:rPr>
          <w:b/>
        </w:rPr>
        <w:t>E. 5</w:t>
      </w:r>
    </w:p>
    <w:p>
      <w:r>
        <w:t>En définitive, l'appel doit être rejeté en application de l'art. 312 al. 1 CPC et l'ordonnance attaquée confirmée. Les frais judiciaires de deuxième instance, arrêtés à 600 fr. (art. 62 al. 2 TFJC [Tarif des frais judiciaires civils du 28 septembre 2010; RSV 270.11.5], sont mis à la charge de l'appelant, qui succombe (art. 106 al. 1 CPC). Il n'est pas alloué de dépens de deuxième instance, dès lors que l’intimée n'a pas été invitée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A.M.________. IV. L'arrêt motivé est exécutoire Le juge délégué : Le greffier : Du 15 novembre 2011 Le dispositif de l'arrêt qui précède est communiqué par écrit aux intéressés. Le greffier : Du L'arrêt qui précède, dont la rédaction a été approuvée à huis clos, est notifié en expédition complète, par l'envoi de photocopies, à : ‑ Me Mireille Loroch (pour A.M.________), ‑ Me Patricia Michellod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