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677 vom 18. November 2011</w:t>
      </w:r>
    </w:p>
    <w:p>
      <w:r>
        <w:t>VD Tribunal cantonal, 2011-11-18, FR</w:t>
      </w:r>
    </w:p>
    <w:p>
      <w:r>
        <w:rPr>
          <w:b/>
        </w:rPr>
        <w:t xml:space="preserve">Quelle: </w:t>
      </w:r>
      <w:r>
        <w:t>https://mcp.opencaselaw.ch/entscheid/vd_findinfo_HC___2011___677</w:t>
      </w:r>
    </w:p>
    <w:p>
      <w:r>
        <w:t>FR: VD_FINDINFO HC / 2011 / 677 du 18 novembre 2011</w:t>
      </w:r>
    </w:p>
    <w:p>
      <w:r>
        <w:t>IT: VD_FINDINFO HC / 2011 / 677 del 18 novembre 2011</w:t>
      </w:r>
    </w:p>
    <w:p>
      <w:pPr>
        <w:pStyle w:val="Heading2"/>
      </w:pPr>
      <w:r>
        <w:t>Regeste</w:t>
      </w:r>
    </w:p>
    <w:p>
      <w:r>
        <w:t>EXPERT, INDEMNITÉ{EN GÉNÉRAL} | 242 al. 1 CPC, 158 al. 1 CPC (CH), 158 al. 2 CPC (CH), 184 al. 3 CPC (CH), 91 al. 1 TFJC (2010), 91 al. 3 TFJC (2010)</w:t>
      </w:r>
    </w:p>
    <w:p>
      <w:pPr>
        <w:pStyle w:val="Heading2"/>
      </w:pPr>
      <w:r>
        <w:t>Erwägungen</w:t>
      </w:r>
    </w:p>
    <w:p>
      <w:r>
        <w:rPr>
          <w:b/>
        </w:rPr>
        <w:t>E. 3</w:t>
      </w:r>
    </w:p>
    <w:p>
      <w:r>
        <w:t>Le 26 mai 2011, les locataires ont saisi la Commission de conciliation en matière de baux à loyer du District de Nyon d'une requête concluant à la condamnation de la bailleresse à entreprendre immédiatement les démarches nécessaires à l'élimination des défauts constatés, à la réduction de leur loyer, ainsi qu'à l'annulation du congé qui leur avait été signifié le 18 mai 2011, subsidiairement, à la prolongation de leur contrat de bail à loyer pour une durée de quatre ans, soit jusqu'au 30 avril 2016. Le 27 mai 2011, les locataires ont adressé une nouvelle requête de preuve à futur au Tribunal des baux concluant à ce que, par voie de mesures superprovisionnelles, un expert hors procès soit désigné avec la mission de décrire l'état de la villa sise [...] à La Rippe, notamment s'agissant des différents points relevés dans leurs courriers des 4 et 13 mai 2011, et de faire toutes autres constatations utiles dans le cadre de son mandat. Le 10 juin 2011, la bailleresse s'est déterminée sur la requête de preuve à futur des locataires en concluant à son rejet.</w:t>
      </w:r>
    </w:p>
    <w:p>
      <w:r>
        <w:rPr>
          <w:b/>
        </w:rPr>
        <w:t>E. 4</w:t>
      </w:r>
    </w:p>
    <w:p>
      <w:r>
        <w:t>Le recours doit être rejeté en application de l'art. 322 al. 1 CPC et le prononcé confirmé. Les frais de deuxième instance sont arrêtés à 200 fr. (art. 69 al. 1 et 70 al. 3 TFJC) et mis à la charge du recourant qui succombe (art. 106 al. 1 CPC). Par ces motifs, la Chambre des recours civile du Tribunal cantonal, statuant à huis clos, en application de l'art. 322 al. 1 CPC, prononce : I. Le recours est rejeté. II. La décision est confirmée. III. Les frais judiciaires de deuxième instance du recourant C.________ sont arrêtés à 200 fr. (deux cents francs). IV. L'arrêt motivé est exécutoire. Le président :               La greffière : Du 18 novembre 2011 Le dispositif de l'arrêt qui précède est communiqué par écrit aux intéressés. La greffière : Du L'arrêt qui précède, dont la rédaction a été approuvée à huis clos, est notifié en expédition complète, par l'envoi de photocopies, à : ‑ Me Tania Huot (pour C.________), ‑ Me Guillaume Perrot (pour A.V.________ et B.V.________), - Me Pierre-Xavier Luciani (pour Z.________). La Chambre des recours civile considère que la valeur litigieuse est de 5'086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