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664 vom 28. November 2011</w:t>
      </w:r>
    </w:p>
    <w:p>
      <w:r>
        <w:t>VD Tribunal cantonal, 2011-11-28, FR</w:t>
      </w:r>
    </w:p>
    <w:p>
      <w:r>
        <w:rPr>
          <w:b/>
        </w:rPr>
        <w:t xml:space="preserve">Quelle: </w:t>
      </w:r>
      <w:r>
        <w:t>https://mcp.opencaselaw.ch/entscheid/vd_findinfo_HC___2011___664</w:t>
      </w:r>
    </w:p>
    <w:p>
      <w:r>
        <w:t>FR: VD_FINDINFO HC / 2011 / 664 du 28 novembre 2011</w:t>
      </w:r>
    </w:p>
    <w:p>
      <w:r>
        <w:t>IT: VD_FINDINFO HC / 2011 / 664 del 28 novembre 2011</w:t>
      </w:r>
    </w:p>
    <w:p>
      <w:pPr>
        <w:pStyle w:val="Heading2"/>
      </w:pPr>
      <w:r>
        <w:t>Regeste</w:t>
      </w:r>
    </w:p>
    <w:p>
      <w:r>
        <w:t>LOGEMENT DE LA FAMILLE, ATTRIBUTION{SENS GÉNÉRAL}, PROTECTION DE L'UNION CONJUGALE | 176 al. 1 ch. 2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l'espèce, l'appelante a produit un bordereau de pièces comprenant, outre le prononcé attaqué, l'enveloppe l'ayant contenu et une attestation Track &amp; Trace, le contrat de travail de l'appelante avec l'Institution de [...]. Cette pièce, déjà produite en première instance, n'est pas nouvelle.</w:t>
      </w:r>
    </w:p>
    <w:p>
      <w:r>
        <w:rPr>
          <w:b/>
        </w:rPr>
        <w:t>E. 3</w:t>
      </w:r>
    </w:p>
    <w:p>
      <w:r>
        <w:t>L'appelante conteste l'attribution du logement conjugal à son époux; elle reproche au premier juge d'avoir considéré qu'aucun époux ne démontrait d'intérêt prépondérant à cette jouissance et d'avoir retenu, pour finalement attribuer au mari le logement conjugal, le critère du bail et le fait qu'il occupait l'appartement depuis avant le mariage des parties. Elle soutient qu'elle a au contraire un intérêt prépondérant à la jouissance du domicile conjugal en raison de sa situation professionnelle et de son taux d'activité d'une part et de sa situation financière plus précaire que celle de son mari d'autre part. S'agissant du premier motif, elle relève que le premier juge a retenu une circonstance de fait inexacte – à savoir qu'elle se rendrait tous les jours à [...] pour son travail, alors qu'elle travaille sur le site de [...], à [...] – qui a influencé de manière incorrecte sa décision. a) Selon l'art. 176 al. 1 ch. 2 CC,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(TF 5A_ 766/2008, JT 2010 I 341; ATF 120 II 1 c. 2c p. 3, JT 1996 I 323 p. 325). Ainsi, le juge doit en premier lieu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5A_575/2011 du 12 octobre 2011). L’art. 176 al. 1 ch. 2 CC ne donne aucune indication quant au délai dans lequel l’époux non attributaire doit quitter le logement; il faut ainsi prendre en compte les circonstances du cas d’espèce, notamment la situation familiale et le marché immobilier (Vetterli, in FamKommentar, 2 e éd., Berne 2011, n. 17 ad art. 176 CC, p. 417). Selon la doctrine, un délai de quelques semaines est, sauf circonstances exceptionnelles, admissible (Chaix, in Commentaire romand, op. cit., n. 13 ad art. 176, p. 1238 ; Deschenaux/ Steinauer/Baddeley, Effets du mariage, 2 e éd., Berne 2009, n. 658, p. 322 ; Vetterli, op. cit., n. 17 ad art. 176 CC, p. 417). b) Chacun des époux revendiquant la jouissance du domicile conjugal, le premier juge a examiné si l'un d'eux avait un intérêt prépondérant à cette jouissance. Il a notamment constaté que l'état de santé de l'appelante ne lui imposait pas de se rendre au CHUV aussi fréquemment qu'elle le prétendait et que le certificat médical produit indiquait que son suivi médical était de deux fois par année au minimum. Il a en outre retenu qu'elle n'alléguait pas avoir des difficultés à se déplacer et qu'elle se rendait tous les jours à [...] pour son travail, circonstance qui rendait sans importance la situation de l'appartement conjugal sis près de la [...]. Enfin, sur le plan financier, il a admis que sa situation financière, bien que précaire, était à tout le moins actuellement meilleure que celle de l'intimé. En ce qui concerne ce dernier, il a considéré que lui non plus ne justifiait pas d'un intérêt particulier à la jouissance de l'appartement conjugal. Il a donc finalement appliqué le critère du bail et attribué l'appartement à l'intimé qui en était locataire déjà avant son mariage. c) L'appelante relève à raison que l'affirmation du premier juge selon laquelle elle travaille tous les jours à [...] est inexacte. Il résulte du contrat de travail du 29 juillet 2011 que l'appelante a été engagée pour travailler sur le site de [...], qui se situe dans les hauts de [...], au [...]. Toutefois, son engagement était de durée déterminée, du 1 er août au 31 octobre 2011. On ignore s'il a été renouvelé et, le cas échéant, si le lieu de travail est demeuré inchangé. Quoi qu'il en soit cette circonstance n'est pas de nature à fonder un intérêt prépondérant à la jouissance du domicile conjugal. La proximité de ce dernier avec [...] constitue certes un avantage dans la mesure où plusieurs lignes de transports publics transitent par cette place, mais cette remarque vaut aussi pour l'intimé, dont on rappellera qu'il doit aussi se déplacer quotidiennement pour aller travailler dans un atelier protégé dans [...]. La constatation inexacte par le premier juge du fait relevé, qui sera corrigé dans le présent arrêt, est donc sans incidence en l'espèce. Ce premier grief de l'appelante doit être rejeté. Il en va de même s'agissant du taux d'activité de l'appelante, dont cette dernière tire une disponibilité temporelle insuffisante pour chercher et trouver un appartement. Là encore, on rappelle que l'intimé travaille à 100 %. On ajoutera que les recherches d'appartements peuvent être soutenues par des services sociaux ou d'entraide. Quant à la situation financière de l'appelante, dont elle considère que la comparaison avec celle de son époux est à son désavantage, elle se trompe. Ses revenus sont supérieurs à ceux de l'appelant. L'Office des poursuites du district de Lausanne ne s'y est pas trompé, lui qui a retenu pour l'appelante, dans la détermination de son minimum d'existence, une part de 65 % des revenus et charges du couple. Elle fait certes l'objet d'une retenue de salaire de 1'700 fr. depuis le mois d'août 2011 mais on en ignore la durée, pas plus qu'on ne connaît le montant total de ses dettes. Au surplus, même en prenant en considération cette retenue de salaire, on constate que l'on obtient des situations financières très proches, de sorte que ce critère n'est pas décisif pour l'attribution du logement conjugal à l'un ou l'autre des époux. Compte tenu de ce qui précède, il faut considérer que la décision attaquée, même si elle comporte, sur un point, une constatation inexacte d'un fait, ne prête pas le flanc à la critique et que les critères retenus par le premier juge pour décider, en l'absence d'intérêt prépondérant de l'une ou l'autre des parties, de l'attribution du domicile conjugal sont adéquats et pertinents. On relèvera encore que l'on peut plus difficilement exiger de l'intimé au bénéfice d'une rente AI, qui travaille dans un atelier protégé, qu'il entreprenne les démarches pour trouver un nouveau logement. Mal fondé, le moyen de l'appelante doit ainsi être rejeté.</w:t>
      </w:r>
    </w:p>
    <w:p>
      <w:r>
        <w:rPr>
          <w:b/>
        </w:rPr>
        <w:t>E. 4</w:t>
      </w:r>
    </w:p>
    <w:p>
      <w:r>
        <w:t>En définitive, l'appel doit être rejeté dans la procédure de l'art. 312 al. 1 CPC et l'ordonnance de mesures provisionnelles confirmée. La requête d'assistance judiciaire est rejetée dans la mesure où la cause était dépourvue de toute chance de succès (art. 117 CPC). Les frais judiciaires de deuxième instance, arrêtés à 600 fr. (art. 65 al 2 TFJC [tarif des frais judiciaires en matière civile du 28 septembre 2010; RSV 270.11.5]), sont mis à la charge de l'appelante, qui succombe (art. 106 al. 1 CPC). L'intimé n'a pas été invité à déposer une réponse (art. 312 al. 1 CPC). Il n'y a dès lors pas lieu de lui allouer des dépens de deuxième instance. Par ces motifs, le juge délégué de la Cour d’appel civile du Tribunal cantonal, statuant à huis clos, en application de l'art. 312 al. 1 CPC, prononce : I. L'appel est rejeté. II. Le prononcé rendu le 12 octobre 2011 par la Présidente du Tribunal civil de l'arrondissement de Lausanne est confirmé. III. La requête d'assistance judiciaire de l'appelante P.________ est rejetée. IV. Les frais judicaires de deuxième instance, arrêtés à 600 fr. (six cents francs), sont mis à la charge de l'appelante P.________. V. L'arrêt motivé est exécutoire. Le juge délégué : Le greffier : Du 30 novembre 2011 Le dispositif de l'arrêt qui précède est communiqué par écrit aux intéressés. Le greffier : Du L'arrêt qui précède, dont la rédaction a été approuvée à huis clos, est notifié en expédition complète, par l'envoi de photocopies, à : ‑ Me Raphaël Tatti (pour P.________), ‑ Me Natasa Djurdjevac Heinzer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