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655 vom 5. Oktober 2011</w:t>
      </w:r>
    </w:p>
    <w:p>
      <w:r>
        <w:t>VD Tribunal cantonal, 2011-10-05, FR</w:t>
      </w:r>
    </w:p>
    <w:p>
      <w:r>
        <w:rPr>
          <w:b/>
        </w:rPr>
        <w:t xml:space="preserve">Quelle: </w:t>
      </w:r>
      <w:r>
        <w:t>https://mcp.opencaselaw.ch/entscheid/vd_findinfo_HC___2011___655</w:t>
      </w:r>
    </w:p>
    <w:p>
      <w:r>
        <w:t>FR: VD_FINDINFO HC / 2011 / 655 du 5 octobre 2011</w:t>
      </w:r>
    </w:p>
    <w:p>
      <w:r>
        <w:t>IT: VD_FINDINFO HC / 2011 / 655 del 5 ottobre 2011</w:t>
      </w:r>
    </w:p>
    <w:p>
      <w:pPr>
        <w:pStyle w:val="Heading2"/>
      </w:pPr>
      <w:r>
        <w:t>Regeste</w:t>
      </w:r>
    </w:p>
    <w:p>
      <w:r>
        <w:t>HYPOTHÈQUE LÉGALE DES ARTISANS ET ENTREPRENEURS, DÉLAI | 837 al. 1 ch. 3 CC, 839 al. 2 CC, 209 CPC, 308 al. 1 let. b CPC (CH), 310 CPC (CH), 404 CPC (CH)</w:t>
      </w:r>
    </w:p>
    <w:p>
      <w:pPr>
        <w:pStyle w:val="Heading2"/>
      </w:pPr>
      <w:r>
        <w:t>Erwägungen</w:t>
      </w:r>
    </w:p>
    <w:p>
      <w:r>
        <w:rPr>
          <w:b/>
        </w:rPr>
        <w:t>E. 1</w:t>
      </w:r>
    </w:p>
    <w:p>
      <w:r>
        <w:t>Depuis l'entrée en vigueur le 1 er janvier 2011 du CPC (Code de procédure civile suisse du 19 décembre 2008; RS 272), les recours sont régis par le droit en vigueur au moment de la communication de la décision aux parties (art. 405 al. 1 CPC). En l'occurrence, l’ordonnance attaquée a été notifiée à la partie appelante le 17 août 2011, de sorte que ce sont les règles contenues dans le CPC qui sont applicables.</w:t>
      </w:r>
    </w:p>
    <w:p>
      <w:r>
        <w:rPr>
          <w:b/>
        </w:rPr>
        <w:t>E. 2</w:t>
      </w:r>
    </w:p>
    <w:p>
      <w:r>
        <w:t>. a) L'appel est recevable contre une ordonnance de mesures provisionnelles (art. 308 al.1 let. b CPC),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al.1 CPC). L'appel en matière de mesures provisionnelles relève de la compétence d'un juge unique (art. 84 al. 2 LOJV [loi d'organisation judiciaire du 12 décembre 1979; RSV 173.01]). Formé en temps utile par des parties qui y ont intérêt et portant sur des conclusions supérieures à 10'000 fr., l'appel interjeté est formellement recevable.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librement l'appréciation des faits sur la base des preuves administrées en première instance (ibidem, p. 135). Le large pouvoir d'examen en fait et en droit ainsi défini s'applique même si la décision attaquée est de nature provisionnelle (ibidem, p.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136-138). En l’espèce, l’appelante requiert que le témoin H.________ soit à nouveau auditionné par la Cour d’appel dès lors qu’il n’a pas été procédé à la ténorisation de son témoignage et que ses déclarations ont été retranscrites de manière erronée par le juge de première instance. S’agissant d’une requête de mesures provisionnelles et préprovisionnelles déposée le 13 décembre 2010, le premier juge a rendu sa décision en application du CPC-VD (Code de procédure civile vaudoise du 14 décembre 1966), conformément à l’art. 404 CPC. Il n’était dès lors pas tenu de ténoriser les déclarations du témoin (art. 209 CPC-VD) et il appartenait à l'appelante de faire ténoriser les propos du témoin si elle entendait s'en prévaloir (JT 2001 III 80). De toute manière, comme cela ressort du considérant c. 3.4 ci-dessous, les déclarations du témoin ne paraissent pas déterminantes pour l’issue du litige, si bien qu’il n’est pas fait droit à cette requête. L’appelante produit au surplus un bordereau de pièces, dont un extrait du Registre foncier concernant sa parcelle qui n’avait pas été produit en première instance. L’intimée a, de son côté, requis la production d’un extrait récent du Registre foncier. Dès lors que figure au dossier la réquisition d’annotation formulée le 13 décembre 2010 par le Président du Tribunal d’arrondissement avec la mention du conservateur indiquant qu’elle a été opérée le même jour, il n’y a pas lieu de considérer la pièce produite comme nouvelle, ni de donner suite à la réquisition de la partie intimée.</w:t>
      </w:r>
    </w:p>
    <w:p>
      <w:r>
        <w:rPr>
          <w:b/>
        </w:rPr>
        <w:t>E. 3.1</w:t>
      </w:r>
    </w:p>
    <w:p>
      <w:r>
        <w:t>L’appelante estime que les faits ont été constatés de manière inexacte. Elle soutient que H.________, entendue en qualité de témoin, a déclaré se souvenir que les travaux de pose du paillasson de la boutique J.________ étaient intervenus le 3 septembre 2010 et non pas le 10 septembre 2010 comme retenu dans l’ordonnance. L’appelante invoque aussi une violation de l'art. 839 al. 2 CC, précisant que le délai de trois mois est un délai péremptoire et que l’hypothèque légale doit non seulement être requise, mais doit également être opérée au Registre foncier dans ce délai.</w:t>
      </w:r>
    </w:p>
    <w:p>
      <w:r>
        <w:rPr>
          <w:b/>
        </w:rPr>
        <w:t>E. 3.2</w:t>
      </w:r>
    </w:p>
    <w:p>
      <w:r>
        <w:t>À teneur de l'art. 837 al. 1 ch. 3 CC, 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un entrepreneur. L'inscription doit être requise au plus tard dans les trois mois qui suivent l'achèvement des travaux (art. 839 al. 2 CC).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 1a). Les travaux effectués par l'entrepreneur en exécution de l'obligation de garantie prévue à l'art. 368 al. 2 CO n'entrent pas non plus en ligne de compte pour la computation du délai (ATF 106 II 22 c. 2b; 102 II 206 c. 1a).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(ATF 125 III 113 c. 2b; 106 II 22 c. 2b et c). Le délai de l'art. 839 al. 2 CC commence à courir dès l'achèvement des travaux, et non pas dès l'établissement de la facture (ATF 102 II 206 c. 2/aa); le fait que l'entrepreneur présente une facture pour son travail donne toutefois à penser, en règle générale, qu'il estime l'ouvrage achevé (ATF 101 II 253).</w:t>
      </w:r>
    </w:p>
    <w:p>
      <w:r>
        <w:rPr>
          <w:b/>
        </w:rPr>
        <w:t>E. 3.3</w:t>
      </w:r>
    </w:p>
    <w:p>
      <w:r>
        <w:t>Conformément à l'art. 961 al. 3 CC, le juge prononce après une procédure sommaire et permet l'inscription provisoire si le droit allégué lui paraît exister.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(TF 5A_208/2010 du 17 juin 2010 c. 4.2; TF 5A_777/2009 du 1 er février 2010 c. 4.1; ATF 86 I 265 c. 3). À moins que le droit à la constitution de l'hypothèque n'existe manifestement pas, le juge qui en est requis doit ordonner l'inscription provisoire. S'il est saisi d'une requête de mesures d'extrême urgence et que l'échéance du délai est imminente, il adressera sans plus attendre au Conservateur du Registre foncier une réquisition téléphonique ou électronique d'inscription, conformément à l'art. 13 al. 4 ORF (Ordonnance du 22 février 1910 sur le registre foncier; RS 211.432.1) (TF 5P. 344/2005 du 23 décembre 2005 c. 3.4). Ainsi, statuant sur recours de droit public, le Tribunal fédéral a estimé que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(TF 5A_475/2010 du 15 septembre 2010 c. 3.1.2 et références citées).</w:t>
      </w:r>
    </w:p>
    <w:p>
      <w:r>
        <w:rPr>
          <w:b/>
        </w:rPr>
        <w:t>E. 3.4</w:t>
      </w:r>
    </w:p>
    <w:p>
      <w:r>
        <w:t>En l’espèce, l’intimée a établi une facture le 21 septembre 2010 qu’elle a adressée à l’appelante. Cette facture comprend deux annexes, soit le détail des métrés, un pour les « seuils vitrines » et l’autre pour les « vitrines ». Ce dernier document fait état de travaux en deux phases, la première ayant été réalisée entre le 10 mai et le 30 juin 2010 et la seconde entre le 30 août et le 14 septembre 2010. Les deux parties estiment que les travaux ont été achevés au moment où le paillasson a été posé. Il ressort de la pièce précitée qu’un paillasson d’entrée en simili pierres a été posé le 14 septembre 2010. L’appelante conteste l’exactitude de cette chronologie et prétend que les travaux ont pris fin le 3 septembre 2010, comme l’aurait déclaré H.________, exploitante des boutiques en question. Or il ressort de la même pièce qu’entre le 3 septembre 2010 et le 14 septembre 2010, l’intimée a encore effectué divers travaux sans discontinuer, à savoir de la maçonnerie, du crépissage, des finitions, la préparation d’une structure en plâtre destinée à l’encadrement et à des faux plafonds (etc.). Ainsi, si les travaux s’étaient réellement achevés le 3 septembre 2010, presque l’intégralité de la facture du 21 septembre 2010 concernant la 2 ème phase des travaux et portant sur le montant de 10'440 fr. serait erronée. Cette facture n’a fait l’objet d’aucune contestation. Dès lors, même si H.________, exploitante, venait à déclarer que le paillasson a été posé le 3 septembre 2010, il n’est pas hautement invraisemblable que les travaux se soient terminés le 14 septembre 2010. Il en découle que l’inscription de l’hypothèque légale devait être opérée avant le 14 décembre 2010. Selon la mention du conservateur, l’inscription provisoire du gage immobilier des artisans et entrepreneurs, en faveur de l’intimée, a été opérée le 13 décembre 2010. Au stade des mesures provisionnelles, on doit dès lors considérer que le délai de l’art. 839 al. 2 CC a été respecté. Sur le vu de ce qui précède, le grief de l’appelante doit être rejeté.</w:t>
      </w:r>
    </w:p>
    <w:p>
      <w:r>
        <w:rPr>
          <w:b/>
        </w:rPr>
        <w:t>E. 4</w:t>
      </w:r>
    </w:p>
    <w:p>
      <w:r>
        <w:t>L’intimée requiert qu’il soit constaté que ses droits dans la procédure au fond sont sauvegardés. Il ressort du procès-verbal des opérations qu’une action a été réceptionnée par le Tribunal d’arrondissement le 16 mai 2011. Il appartiendra au juge de l’action en validation de déterminer si l’intimée a respecté le délai qui lui était imparti.</w:t>
      </w:r>
    </w:p>
    <w:p>
      <w:r>
        <w:rPr>
          <w:b/>
        </w:rPr>
        <w:t>E. 5</w:t>
      </w:r>
    </w:p>
    <w:p>
      <w:r>
        <w:t>En définitive, l'appel doit être rejeté et l’ordonnance de mesures provisionnelles confirmée. Les frais judiciaires de deuxième instance, arrêtés à 800 fr. (art. 65 al. 1 TFJC [tarif des frais judiciaires en matière civile du 28 septembre 2010; RSV 270.11.5]), sont mis à la charge de l’appelante, qui succombe (art. 106 al. 1 CPC). S'étant déterminée, l'intimée a droit à des dépens de deuxième instance d'un montant de 1'000 fr. (art. 95 al. 3 CPC), Par ces motifs, le juge délégué de la Cour d’appel civile du Tribunal cantonal, statuant à huis clos, prononce : I. L’appel est rejeté. II. L'ordonnance est confirmée. III. Les frais judiciaires de deuxième instance, arrêtés à 800 fr. (huit cents francs), sont mis à la charge de l'appelante Z.________ SA. IV. L'appelante Z.________ SA doit verser à l'intimée  F.________ SA la somme de 1'000 fr. (mille francs) à titre de dépens de deuxième instance. V. L'arrêt motivé est exécutoire. Le juge délégué : La greffière : Du</w:t>
      </w:r>
    </w:p>
    <w:p>
      <w:r>
        <w:rPr>
          <w:b/>
        </w:rPr>
        <w:t>E. 7</w:t>
      </w:r>
    </w:p>
    <w:p>
      <w:r>
        <w:t>octobre 2011 Le dispositif de l'arrêt qui précède est communiqué par écrit aux intéressés. La greffière : Du L'arrêt qui précède, dont la rédaction a été approuvée à huis clos, est notifié en expédition complète, par l'envoi de photocopies à : ‑ Me Marcel Heider (pour Z.________ SA), ‑ Me Michel Montini (pour F.________ SA).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