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 vom 22. Dezember 2010</w:t>
      </w:r>
    </w:p>
    <w:p>
      <w:r>
        <w:t>VD Tribunal cantonal, 2010-12-22, FR</w:t>
      </w:r>
    </w:p>
    <w:p>
      <w:r>
        <w:rPr>
          <w:b/>
        </w:rPr>
        <w:t xml:space="preserve">Quelle: </w:t>
      </w:r>
      <w:r>
        <w:t>https://mcp.opencaselaw.ch/entscheid/vd_findinfo_HC___2011___64</w:t>
      </w:r>
    </w:p>
    <w:p>
      <w:r>
        <w:t>FR: VD_FINDINFO HC / 2011 / 64 du 22 décembre 2010</w:t>
      </w:r>
    </w:p>
    <w:p>
      <w:r>
        <w:t>IT: VD_FINDINFO HC / 2011 / 64 del 22 dicembre 2010</w:t>
      </w:r>
    </w:p>
    <w:p>
      <w:pPr>
        <w:pStyle w:val="Heading2"/>
      </w:pPr>
      <w:r>
        <w:t>Regeste</w:t>
      </w:r>
    </w:p>
    <w:p>
      <w:r>
        <w:t>FIXATION DE LA PEINE | 47 CP, 411 let. h CPP</w:t>
      </w:r>
    </w:p>
    <w:p>
      <w:pPr>
        <w:pStyle w:val="Heading2"/>
      </w:pPr>
      <w:r>
        <w:t>Erwägungen</w:t>
      </w:r>
    </w:p>
    <w:p>
      <w:r>
        <w:rPr>
          <w:b/>
        </w:rPr>
        <w:t>E. 1</w:t>
      </w:r>
    </w:p>
    <w:p>
      <w:r>
        <w:t>Le recourant a pris des conclusions tant en nullité qu'en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Bovay/Dupuis/Monnier/Moreillon/Piguet, Procédure pénale vaudoise, Code annoté, 3 ème éd., Bâle 2008, n. 1.4 ad art. 411 CPP [Code de procédure pénale du 12 septembre 1967, RSV 312.01]). En l’occurrence, il convient d’examiner en premier lieu les moyens de nullité, ces derniers pouvant faire apparaître des irrégularités propres à influer sur la décision attaquée, éventualité qui n'est plus examinée dans le cadre du recours en réforme.</w:t>
      </w:r>
    </w:p>
    <w:p>
      <w:r>
        <w:rPr>
          <w:b/>
        </w:rPr>
        <w:t>E. 1.4</w:t>
      </w:r>
    </w:p>
    <w:p>
      <w:r>
        <w:t>ad art. 415 CPP et les réf. cit.; ATF 129 IV 6 c. 6.1; 128 IV 73 c. 3b; 127 IV 101 c. 2c; 123 IV 150 c. 2a; 122 IV 241 c. 1a; 118 IV 21 c. 2a; 116 IV 288 c. 2b).</w:t>
      </w:r>
    </w:p>
    <w:p>
      <w:r>
        <w:rPr>
          <w:b/>
        </w:rPr>
        <w:t>E. 2</w:t>
      </w:r>
    </w:p>
    <w:p>
      <w:r>
        <w:t>J.________ soutient en premier lieu que l'état de fait retenu par les premiers juges serait lacunaire, car il ne comporte pas l'indication qu'il a eu, avec sa nouvelle épouse, un second enfant né le 5 novembre 2009. Il considère que le tribunal aurait dû prendre en considération le fait qu'il assume l'entretien de trois personnes, à savoir son épouse et ses deux enfants, avant de prononcer une longue peine privative de liberté. Le recourant se prévaut ainsi du moyen de nullité tiré de l'art. 411 let. h CPP.</w:t>
      </w:r>
    </w:p>
    <w:p>
      <w:r>
        <w:rPr>
          <w:b/>
        </w:rPr>
        <w:t>E. 2.1</w:t>
      </w:r>
    </w:p>
    <w:p>
      <w:r>
        <w:t>S’agissant d’un recours en nullité fondé sur l'art. 411 let. h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III 83, c. 6b; Besse-Matile/Abravanel, op. cit., p. 103).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w:t>
      </w:r>
    </w:p>
    <w:p>
      <w:r>
        <w:rPr>
          <w:b/>
        </w:rPr>
        <w:t>E. 2.2</w:t>
      </w:r>
    </w:p>
    <w:p>
      <w:r>
        <w:t>La Cour de cassation n'est pas une autorité d'appel. Par conséquent, la production d'une pièce nouvelle, portant sur un fait antérieur au jugement attaqué n'est pas recevable (Bovay et alii., op. cit., n. 2 ad art. 425 CPP et les réf. cit.). En tout état de cause, le fait que l'existence d'un second enfant ne soit pas mentionnée par les premiers juges n'est pas de nature à influer sur la décision attaquée, même s'il est exact qu'en principe la situation personnelle devrait mentionner tous les enfants d'un accusé. En effet, on rappelle que le recourant travaille à environ 50% et gagne 750 fr. net par mois de sorte qu'en réalité, c'est la collectivité publique qui assume l'entretien de sa famille, notamment sous forme d'un revenu d'insertion (jgt., p. 11). Par ailleurs, le recourant plaide en vain que sa situation personnelle s'est stabilisée depuis février 2009 et qu'il n'a plus commis de vol. Ce point relève d'une circonstance que le tribunal n'a pas ignoré au moment de fixer la peine puisqu'il l'a retenue expressément à décharge (jgt., p. 26). Enfin, le fait que J.________ doive produire des pièces en deuxième instance pour établir sa situation personnelle démontre sa négligence à participer à l'instruction sur ce point, alors même que lors de sa convocation, il lui a été clairement indiqué qu'il avait la possibilité de produire toute pièce utile aux débats et qu'il a été interrogé en audience. Il y a donc abus de sa part de s'en prévaloir en recours et le moyen doit être écarté (TF 6B_61/2010 du 27 juillet 2010 c. 1.2; ATF 119 Ia c. 5a). Mal fondé, le recours en nullité doit être rejeté</w:t>
      </w:r>
    </w:p>
    <w:p>
      <w:r>
        <w:rPr>
          <w:b/>
        </w:rPr>
        <w:t>E. 3</w:t>
      </w:r>
    </w:p>
    <w:p>
      <w:r>
        <w:t>Dans le cadre du recours en réforme, J.________ estime que le tribunal a outrepassé son pouvoir d'appréciation en fixant la peine, qui est selon lui, arbitrairement sévère par rapport à celle prononcée à l'encontre de son coaccusé R.________.</w:t>
      </w:r>
    </w:p>
    <w:p>
      <w:r>
        <w:rPr>
          <w:b/>
        </w:rPr>
        <w:t>E. 3.1</w:t>
      </w:r>
    </w:p>
    <w:p>
      <w:r>
        <w:t>Saisie, comme en l'espèce,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 ère et 2 ème phrases, CPP), ou d'éventuels compléments qui ressortiraient des pièces du dossier (JT 1989 III 105). Comme cela a été vu sous l'angle de la nullité, de telles inadvertances ne sont pas données en l’espèce, pas plus que l'état de fait n'a à être complété. A teneur de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(ATF 134 IV 17 c. 2.1; 129 IV 6 c. 6.1). Plus la peine est élevée, plus la motivation doit être complète (ATF 136 IV 55 c. 5.7; 117 IV 112 c. 2b/cc).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 et alii., op. cit., n.</w:t>
      </w:r>
    </w:p>
    <w:p>
      <w:r>
        <w:rPr>
          <w:b/>
        </w:rPr>
        <w:t>E. 3.2</w:t>
      </w:r>
    </w:p>
    <w:p>
      <w:r>
        <w:t>Selon la jurisprudence fédérale, il est possible d'invoquer, dans le cadre d'un recours en réforme pour violation de l'article 47 CP, le fait que la peine infligée consacre une inégalité de traitement, en comparaison avec la peine infligée à un coaccusé (ATF 121 IV 202 c. 2d; 117 IV 112 c. 2b). Comme le relève toutefois le Tribunal, cette comparaison est délicate lorsqu'elle porte sur des affaires et des accusés différents, compte tenu des nombreux paramètres qui interviennent dans la fixation de la peine (ATF 116 IV 292 c. 2).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juridiques (Wiprächtiger, Basler Kommentar, Strafrecht I, 2 ème éd., 2007, n. 159 ad. art. 47 CP, pp. 876 ss. et les réf. cit.).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w:t>
      </w:r>
    </w:p>
    <w:p>
      <w:r>
        <w:rPr>
          <w:b/>
        </w:rPr>
        <w:t>E. 3.3</w:t>
      </w:r>
    </w:p>
    <w:p>
      <w:r>
        <w:t>Dans le cas d'espèce, les premiers juges ont infligé à J.________ une peine privative de liberté d'ensemble de quinze mois et une amende de 200 fr., alors que son neveu a été sanctionné d'une peine partiellement complémentaire à celles prononcées les 28 juin 2007 et 25 novembre 2008, de 240 jours-amende à 40 fr. le jour et d'une amende de 200 francs. S'il est constant que les faits reprochés à J.________ et à son neveu R.________ sont les mêmes puisqu'ils ont agi ensemble lors de la commission de leurs méfaits, il y a cependant dans l'appréciation de la sanction adéquate, deux circonstances fondamentalement différentes : dans le cas de R.________, le tribunal a prononcé une peine partiellement complémentaire à deux autres condamnations totalisant 120 jours-amende et, surtout, le tribunal a constaté qu'il avait collaboré avec les enquêteurs, reconnu ses fautes et accepté de dédommager les lésés. Le recourant ne peut se prévaloir de ces éléments, de sorte que la disparité entre les condamnations est justifiée. La comparaison que fait le recourant entre sa peine et celle infligée à son neveu R.________ est dès lors vaine, et ce grief ne peut qu'être rejeté.</w:t>
      </w:r>
    </w:p>
    <w:p>
      <w:r>
        <w:rPr>
          <w:b/>
        </w:rPr>
        <w:t>E. 3.4</w:t>
      </w:r>
    </w:p>
    <w:p>
      <w:r>
        <w:t>Le recourant se plaint du fait que le tribunal n'ait pas envisagé de prononcer une peine pécuniaire, selon lui plus compatible avec sa situation familiale, en lieu et place d'une peine privative de liberté (mémoire de recours ch. 17). La nouvelle partie générale du Code pénal offre une palette étendue de sanctions et de possibilités de combinaisons de celles-ci entre elles.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 Bolle [Hrsg.], Reform der strafrechtlichen Sanktionen, Zurich 1994, p. 168; le même, Zur Revision des Systems der Hauptstrafen, ZstrR 117/1999, p. 259; TF 6B_541/2007 du 13 mai 2008).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(ATF 134 IV 82 c. 4.1; Message concernant la modification du Code pénal suisse [dispositions générales, entrée en vigueur et application du Code pénal]).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6B_541/2007 du 13 mai 2008; ATF 134 IV 60 c. 4.3; Message 1998, p. 1791, 1822 s., 1834 et 1837; cf. aussi p. 1845 s.; cf. encore Mazzucchelli, op. cit., art. 41 CP, n. 5 et les références). Il faut aussi tenir compte des antécédents du recourant, de la gravité des infractions en cause et du risque de récidive (arrêt du Tribunal fédéral 6B_111/2009, du 16 juillet 2009).</w:t>
      </w:r>
    </w:p>
    <w:p>
      <w:r>
        <w:rPr>
          <w:b/>
        </w:rPr>
        <w:t>E. 3.5</w:t>
      </w:r>
    </w:p>
    <w:p>
      <w:r>
        <w:t>En l'occurrence, pour fixer la peine, les premiers juges ont tenu compte à charge du recourant du mobile du gain facile alors qu'il était en mesure de travailler, de la mauvaise influence exercée sur son neveu, de la bonne organisation des comparses dans la réalisation des vols, du fait que malgré les preuves accumulées contre lui, le recourant a persisté à nier les faits et n'a formulé aucun regret, de sorte que rien ne permettait de penser qu'il aurait renoncé au crime s'il n'avait pas été dénoncé par son coaccusé et enfin, du concours d'infractions et de ses mauvais antécédents en matière d'infractions contre le patrimoine. En effet, on rappelle que c'est la troisième fois que le recourant est sanctionné pour vol, les précédentes sanctions – à savoir une peine privative de liberté et une peine pécuniaire – prononcées avec sursis ne semblant pas avoir eu d'effet sur lui. Cela démontre un ancrage dans la délinquance. A décharge, les premiers juges ont retenu que J.________ n'avait vraisemblablement commis aucun nouveau vol depuis février 2009 (jgt., p. 25 s). Le tribunal a, par ailleurs, révoqué le sursis qui avait été accordé au recourant le 20 avril 2007, prononçant ainsi une peine privative de liberté d'ensemble. Les premiers juges ont dès lors tenu compte de tous les éléments pertinents – liés à l'importance de la faute et, partant, à la culpabilité du recourant - pour fixer la peine contestée, ses antécédents et son attitude durant la procédure notamment, justifiant une peine sévère. Ils étaient fondés à émettre un pronostic défavorable et à conclure que seule une peine privative de liberté ferme répondait à un impératif de prévention spéciale. Le grief du recourant, mal fondé, doit être rejeté.</w:t>
      </w:r>
    </w:p>
    <w:p>
      <w:r>
        <w:rPr>
          <w:b/>
        </w:rPr>
        <w:t>E. 3.6</w:t>
      </w:r>
    </w:p>
    <w:p>
      <w:r>
        <w:t>Enfin, J.________ s'étonne du fait que les premiers juges ne lui aient pas infligé – toujours compte tenu de sa situation familiale et personnelle - une peine assortie du sursis partiel (cf. mémoire de recours ch. 18).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Précisant la portée de cette disposition, le Tribunal fédéral a, dans un arrêt de principe du 19 mai 2009,  considéré qu'en cas de récidive au sens de l'art. 42 al. 2 CP, seules deux hypothèses sont envisageables: soit les circonstances sont particulièrement favorables et le sursis total doit être accordé à l'auteur; soit les circonstances sont mitigées ou défavorables et le sursis, respectivement partiel ou total, est alors exclu (6B_492/2008 c. 3.1.3, non publié aux ATF 135 IV 152).</w:t>
      </w:r>
    </w:p>
    <w:p>
      <w:r>
        <w:rPr>
          <w:b/>
        </w:rPr>
        <w:t>E. 3.7</w:t>
      </w:r>
    </w:p>
    <w:p>
      <w:r>
        <w:t>Concernant le recourant, on rappelle que les vols et les cambriolages pour lesquels il comparaît aujourd'hui ont été commis durant la période de sursis qui lui avait été accordé en avril 2007, de sorte que les premiers juges ont révoqué ce sursis, prononçant une peine privative de liberté d'ensemble. Par ailleurs, contrairement à ce que soutient le recourant, l'absence de prise en considération, par le tribunal, du fait qu'il est père d'un second enfant n'a aucune incidence sur le pronostic relatif au sursis. En effet, on remarque que J.________ avait déjà des responsabilités de père dès 2005, qui ne l'ont toutefois pas empêché d'être à nouveau condamné par le juge d'instruction de Lausanne en avril 2007 et de commettre encore de nombreux vols dès le mois de décembre suivant. Sa prétendue bonne volonté ne permet dès lors pas de contrebalancer les éléments défavorables liés aux interventions successives des autorités judiciaires à son encontre. Compte tenu de l'attitude de J.________ en cours de procédure et de ses antécédents, le pronostic émis était à juste titre défavorable. Partant, les premiers juges n'ont pas abusé de leur pouvoir d'appréciation, le résultat auquel ils parviennent n'étant au demeurant pas critiquable, de sorte que le prononcé d'un sursis n'entre pas en considération. Ce grief doit être rejeté et avec lui le recours dans son ensemble.</w:t>
      </w:r>
    </w:p>
    <w:p>
      <w:r>
        <w:rPr>
          <w:b/>
        </w:rPr>
        <w:t>E. 4</w:t>
      </w:r>
    </w:p>
    <w:p>
      <w:r>
        <w:t>En définitive, le recours de J.________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