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634 vom 2. November 2011</w:t>
      </w:r>
    </w:p>
    <w:p>
      <w:r>
        <w:t>VD Tribunal cantonal, 2011-11-02, FR</w:t>
      </w:r>
    </w:p>
    <w:p>
      <w:r>
        <w:rPr>
          <w:b/>
        </w:rPr>
        <w:t xml:space="preserve">Quelle: </w:t>
      </w:r>
      <w:r>
        <w:t>https://mcp.opencaselaw.ch/entscheid/vd_findinfo_HC___2011___634</w:t>
      </w:r>
    </w:p>
    <w:p>
      <w:r>
        <w:t>FR: VD_FINDINFO HC / 2011 / 634 du 2 novembre 2011</w:t>
      </w:r>
    </w:p>
    <w:p>
      <w:r>
        <w:t>IT: VD_FINDINFO HC / 2011 / 634 del 2 novembre 2011</w:t>
      </w:r>
    </w:p>
    <w:p>
      <w:pPr>
        <w:pStyle w:val="Heading2"/>
      </w:pPr>
      <w:r>
        <w:t>Regeste</w:t>
      </w:r>
    </w:p>
    <w:p>
      <w:r>
        <w:t>AVANCE DE FRAIS | 103 CPC (CH), 319 let. b ch. 1 CPC (CH), 98 CPC (CH)</w:t>
      </w:r>
    </w:p>
    <w:p>
      <w:pPr>
        <w:pStyle w:val="Heading2"/>
      </w:pPr>
      <w:r>
        <w:t>Erwägungen</w:t>
      </w:r>
    </w:p>
    <w:p>
      <w:r>
        <w:rPr>
          <w:b/>
        </w:rPr>
        <w:t>E. 1</w:t>
      </w:r>
    </w:p>
    <w:p>
      <w:r>
        <w:t>a) La décision attaquée a été rendue le 29 août 2011, de sorte que les voies de droit sont régies par le CPC (Code de procédure civile suisse du 19 décembre 2008, RS 272), entré en vigueur le 1 er janvier 2011 (art. 405 al. 1 CPC). b) La décision relative aux avances de frais est une mesure d’instruction (Jeandin, in CPC commenté, Bâle 2011, n. 14 ad art. 319 CPC, p. 1272). Le recours, expressément prévu par l’art. 103 CPC, est celui de l’art. 319 al. 1 let. b ch. 1 CPC (Tappy, in CPC commenté, op. cit., n. 4 ad art. 103 CPC, p. 396). Il doit être exercé dans le délai de dix jours prévu par l’art. 321 al. 2 CPC. Déposé en temps utile par une partie qui a un intérêt juridique,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LTF, p. 941).</w:t>
      </w:r>
    </w:p>
    <w:p>
      <w:r>
        <w:rPr>
          <w:b/>
        </w:rPr>
        <w:t>E. 3</w:t>
      </w:r>
    </w:p>
    <w:p>
      <w:r>
        <w:t>a) La recourante fait d’abord valoir que son droit d’être entendue a été violé, dès lors que la décision attaquée n’expose pas pour quelle raison l’émolument requis a été fixé à 5'000 francs. b) La jurisprudence a déduit du droit d’être entendu garanti par l’art. 29 al. 2 Cst. (Constitution fédérale du 18 avril 1999,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 3.2 et les réf., JT 2004 I 588). Toutefois, l’autorité n’a pas l’obligation d’exposer et de discuter tous les faits, moyens de preuve et griefs invoqués par les parties, mais peut au contraire se limiter à ceux qui, sans arbitraire, lui paraissent pertinents (ATF 133 III 439 c. 3.3, JT 2008 I 4 ; ATF 130 II 530 c. 4.3). c) En l’espèce, il appartenait à l’autorité de première instance de fixer l’avance de frais, sans que la recourante n’ait à en discuter à ce stade le montant. Il suffit qu’elle puisse comprendre sur quelles bases la décision entreprise a été rendue. Manifestement, le premier juge a arrêté le montant de l’avance de frais au regard des conclusions de la recourante prises dans sa requête de conciliation, selon lesquelles la participation de l’Etat de Vaud, intimé, devait être calculée, selon la Convention relative à la participation financière de l’Etat pour la mise à disposition des biens immobiliers des EMS reconnus d’intérêt public en la forme commerciale et/ou de ceux reconnus d’intérêt public locataires de tout ou partie de pareils biens immobiliers (ci-après : la Convention), sur la base d’une valeur de l’immeuble que la recourante occupe fixée au minimum à</w:t>
      </w:r>
    </w:p>
    <w:p>
      <w:r>
        <w:rPr>
          <w:b/>
        </w:rPr>
        <w:t>E. 6</w:t>
      </w:r>
    </w:p>
    <w:p>
      <w:r>
        <w:t>millions de francs qui doit être retenue en l’espèce, soit, selon l’art. 15 TFJC, un émolument de 1’200 fr. plus 0,25 % de la valeur qui dépasse 500’000 fr. et au maximum de 5’000 fr., mais un émolument fixé selon l’art. 16 TFJC, il n’en demeure pas moins que le résultat est le même. A supposer que l’action engagée doive être qualifiée de constatatoire, il s’agit d’un litige complexe avec des enjeux importants qui supposent pour le juge de la conciliation un travail de préparation de l’audience considérable, s’il veut tenter d’arbitrer utilement le litige. Il a du reste déjà été interpellé par un magistrat de la Cour de droit administratif et public au sujet de sa compétence matérielle, de sorte que ces questions seront certainement à nouveau abordées à l’audience de conciliation. Compte tenu de ces circonstances, l’émolument de 5’000 fr. apparaît justifié et le moyen doit être rejeté. 5. En définitive, le recours est rejeté, en application de l’art. 322 al. 1 CPC, et la décision confirmée. Les frais judiciaires de deuxième instance, arrêtés à 200 fr. (art. 69 al. 1 TFJC), sont mis à la charge de la recourante. Il n’y a pas matière à l’allocation de dépens de deuxième instance, l’intimé n’ayant pas été invité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R.________ SA. IV. L’arrêt motivé est exécutoire. Le président :               Le greffier : Du 3 novembre 2011 Le dispositif de l'arrêt qui précède est communiqué par écrit aux intéressés. Le greffier : Du L'arrêt qui précède, dont la rédaction a été approuvée à huis clos, est notifié en expédition complète, par l'envoi de photocopies, à : ‑ Me Jean-Noël Jaton (pour R.________ SA) ‑ Etat de Vaud, Département de la santé et de l’action sociale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