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631 vom 9. November 2011</w:t>
      </w:r>
    </w:p>
    <w:p>
      <w:r>
        <w:t>VD Tribunal cantonal, 2011-11-09, FR</w:t>
      </w:r>
    </w:p>
    <w:p>
      <w:r>
        <w:rPr>
          <w:b/>
        </w:rPr>
        <w:t xml:space="preserve">Quelle: </w:t>
      </w:r>
      <w:r>
        <w:t>https://mcp.opencaselaw.ch/entscheid/vd_findinfo_HC___2011___631</w:t>
      </w:r>
    </w:p>
    <w:p>
      <w:r>
        <w:t>FR: VD_FINDINFO HC / 2011 / 631 du 9 novembre 2011</w:t>
      </w:r>
    </w:p>
    <w:p>
      <w:r>
        <w:t>IT: VD_FINDINFO HC / 2011 / 631 del 9 novembre 2011</w:t>
      </w:r>
    </w:p>
    <w:p>
      <w:pPr>
        <w:pStyle w:val="Heading2"/>
      </w:pPr>
      <w:r>
        <w:t>Regeste</w:t>
      </w:r>
    </w:p>
    <w:p>
      <w:r>
        <w:t>EXPERTISE, HONORAIRES | 242 al. 1 CPC, 184 al. 3 CPC (CH)</w:t>
      </w:r>
    </w:p>
    <w:p>
      <w:pPr>
        <w:pStyle w:val="Heading2"/>
      </w:pPr>
      <w:r>
        <w:t>Erwägungen</w:t>
      </w:r>
    </w:p>
    <w:p>
      <w:r>
        <w:rPr>
          <w:b/>
        </w:rPr>
        <w:t>E. 1</w:t>
      </w:r>
    </w:p>
    <w:p>
      <w:r>
        <w:t>La décision attaquée ayant été communiquée après l'entrée en vigueur du Code de procédure civile du 19 décembre 2010 (CPC; RS 272) au 1 er janvier 2011, le recours est régi par celui-ci (art. 405 al. 1 CPC). Les décisions fixant la rémunération d'un expert peuvent faire l'objet d'un recours (art. 184 al. 3 CPC). Le recours de l'art. 319 let. b ch. 1 CPC est donc ouvert. En revanche, dès lors que la procédure au fond était en cours au 1 er janvier 2011, les règles applicables à la fixation des frais d'expertise sont celles de l'ancien droit de procédure (art. 404 al. 1 CPC), en particulier l'art. 242 al. 1 CPC-VD (Code de procédure civile vaudoise du 14 décembre 1966) et le Tarif des frais judiciaires en matière civile du</w:t>
      </w:r>
    </w:p>
    <w:p>
      <w:r>
        <w:rPr>
          <w:b/>
        </w:rPr>
        <w:t>E. 4</w:t>
      </w:r>
    </w:p>
    <w:p>
      <w:r>
        <w:t>Il résulte de ce qui précède que le recours doit être rejeté selon la procédure de l'art. 322 al. 1 CPC et la décision entreprise confirmée.</w:t>
      </w:r>
    </w:p>
    <w:p>
      <w:r>
        <w:rPr>
          <w:b/>
        </w:rPr>
        <w:t>E. 5</w:t>
      </w:r>
    </w:p>
    <w:p>
      <w:r>
        <w:t>Le recours étant dépourvu de chances de succès, la requête d'assistance judiciaire doit être rejetée (art. 117 let. b CPC). Les frais judiciaires de deuxième instance sont arrêtés à 200 fr. (art. 69 al. 1 TFJC [tarif des frais judiciaires civils du 28 septembre 2010; RSV 270.11.5] et mis à la charge du recourant, qui succombe (art. 106 al. 1 CPC). L'intimée n'ayant pas été invitée à déposer une réponse, elle n'a pas droit à des dépens de deuxième instance.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arrêtés à 200.00 fr. (deux cents francs), sont mis à la charge du recourant D.________. V. L'arrêt motivé est exécutoire. Le président :               La greffière : Du 21 novembre 2011 Le dispositif de l'arrêt qui précède est communiqué par écrit aux intéressés. La greffière : Du L'arrêt qui précède, dont la rédaction a été approuvée à huis clos, est notifié en expédition complète, par l'envoi de photocopies, à : ‑ Me Eric Muster (pour D.________) ‑ Me Marguerite Florio (pour L.________) La Chambre des recours civile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