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628 vom 4. November 2011</w:t>
      </w:r>
    </w:p>
    <w:p>
      <w:r>
        <w:t>VD Tribunal cantonal, 2011-11-04, FR</w:t>
      </w:r>
    </w:p>
    <w:p>
      <w:r>
        <w:rPr>
          <w:b/>
        </w:rPr>
        <w:t xml:space="preserve">Quelle: </w:t>
      </w:r>
      <w:r>
        <w:t>https://mcp.opencaselaw.ch/entscheid/vd_findinfo_HC___2011___628</w:t>
      </w:r>
    </w:p>
    <w:p>
      <w:r>
        <w:t>FR: VD_FINDINFO HC / 2011 / 628 du 4 novembre 2011</w:t>
      </w:r>
    </w:p>
    <w:p>
      <w:r>
        <w:t>IT: VD_FINDINFO HC / 2011 / 628 del 4 novembre 2011</w:t>
      </w:r>
    </w:p>
    <w:p>
      <w:pPr>
        <w:pStyle w:val="Heading2"/>
      </w:pPr>
      <w:r>
        <w:t>Regeste</w:t>
      </w:r>
    </w:p>
    <w:p>
      <w:r>
        <w:t>PROTECTION DE L'UNION CONJUGALE, OBLIGATION D'ENTRETIEN, REVENU HYPOTHÉTIQUE | 176 al. 1 ch. 1 CC, 308 al. 1 let. b CPC (CH)</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in JT 2010 III 115, spéc. p. 121),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b) Formé en temps utile par une partie qui y a intérêt et portant sur des conclusions qui, capitalisées selon l’art. 92 al. 2 CPC, sont supérieures à 10'000 fr., le présent appel est formellement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(JT 2011 III 43; Tappy, op. cit., p. 136). b) Les faits et moyens de preuve nouveaux ne sont pris en compte que s'ils sont invoqués ou produits sans retard et ne pouvaient être invoqués ou produits devant la première instance bien que la partie qui s'en prévaut ait fait la preuve de la diligence requise, ces deux conditions étant cumulatives (art. 317 al. 1 CPC; Tappy, op. cit., p. 138). Il appartient aux parties de démontrer que ces conditions sont réalisées, de sorte que l'appel doit indiquer spécialement les faits et preuves nouveaux et motiver spécialement les raisons qui les rendent admissibles selon lui (JT 2011 III 43; Tappy, op. cit.,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ou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Basler Kommentar, Schweizerische Zivilprozessordnung, Zurich-Bâle-Genève 2010, nn.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Berne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sur le tout: JT 2011 III 43). c) En l'espèce, est seule litigieuse la question de la contribution d'entretien en faveur de l'intimée et des enfants. On peut laisser ouverte la question de savoir si le premier juge a violé la maxime inquisitoire illimitée et si les pièces produites à l'appui de l'appel sont recevables, celles-ci n'étant pas déterminantes.</w:t>
      </w:r>
    </w:p>
    <w:p>
      <w:r>
        <w:rPr>
          <w:b/>
        </w:rPr>
        <w:t>E. 3</w:t>
      </w:r>
    </w:p>
    <w:p>
      <w:r>
        <w:t>L’appelant ne remet pas en cause l'application de la méthode du minimum vital pour déterminer le montant de la contribution qu'il doit verser pour l'entretien des siens. En revanche, il conteste la prise en considération de certains éléments pour effectuer le calcul de ce montant. Il convient ainsi d'examiner successivement les griefs soulevés par A.L.________ après avoir rappelé les principes applicables à la fixation de la contribution d’entretien.</w:t>
      </w:r>
    </w:p>
    <w:p>
      <w:r>
        <w:rPr>
          <w:b/>
        </w:rPr>
        <w:t>E. 4</w:t>
      </w:r>
    </w:p>
    <w:p>
      <w:r>
        <w:t>Le principe et le montant de la contribution d’entretien due selon l’art. 176 al. 1 ch. 1 CC (Code civil suisse du 10 décembre 1907, RS 210) se déterminent en fonction des facultés économiques et des besoins respectifs des époux (ATF 121 I 97 c. 3b ; ATF 118 lI 376 c. 2b). Tant que dure le mariage, chacun des conjoints a le droit de participer de la même manière au train de vie antérieur; il incombe en principe au créancier de la contribution d’entretien de préciser les dépenses nécessaires au maintien de son train de vie et de les rendre vraisemblables (TF 5A_732/2007 du 4 avril 2008 c. 2.2). En cas de situation financière favorable, il convient ainsi de se fonder sur les dépenses indispensables au maintien du train de vie antérieur, qui constitue la limite supérieure du droit à l'entretien (ATF 121 I 97 c. 3b; TF 5A_205/2010 du 12 juillet 2010 c. 4.2.3, publié in La pratique du droit de la famille [FamPra.ch] 2010, p. 894). Tant que dure le mariage, c’est l’art. 163 aI. 1 CC qui constitue la cause de l’obligation d’entretien.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(ATF 119 II 314 c. 4b/bb).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 en faveur de l'époux attributaire de la garde et 40 % pour l'autre époux, voire par 2/3 – 1/3, échappe dans un tel cas à la critique (Juge délégué CACI 18 février 2011/3 ; Juge délégué CACI 14 mars 2011/15).</w:t>
      </w:r>
    </w:p>
    <w:p>
      <w:r>
        <w:rPr>
          <w:b/>
        </w:rPr>
        <w:t>E. 5</w:t>
      </w:r>
    </w:p>
    <w:p>
      <w:r>
        <w:t>a) L'appelant soutient que le montant de son salaire mensuel net n'a pas été correctement établi puisqu'un montant trop élevé a été retenu à titre de salaire mensuel moyen (14'583 fr. au lieu de 14'185.20, bonus compris) et que les allocations familiales mensuelles qui sont reversées à T.________, soit 400 fr. par mois, n'ont pas été portées en déduction de ce salaire. En outre, A.L.________ reproche au premier juge de ne pas avoir soustrait du minimum vital de l'intimée et des enfants le montant de ces allocations familiales. b) Les allocations familiales pour enfants, affectées exclusivement à l'entretien de ceux-ci, ne sont pas prises en compte dans le calcul du revenu du débirentier ou du parent gardien, dès lors que ce sont les enfants qui en sont titulaires (TF 5A_511/2010 du 4 février 2011 c. 3; TF 5A_402/2010 du 10 septembre 2010 c. 4.2.3; in Revue de la protection des mineurs et des adultes [RMA] 2010, p. 47). Elles sont cependant retranchées du coût d'entretien de l'enfant (TF 5A_511/2010 du 4 février 2011 c. 3; TF 5A_207/2009 du 21 octobre 2009 c. 3.2; TF 5A_746/2008 du 9 avril 2009 c. 6.1) et doivent donc être déduites dans le calcul du minimum vital lors de la fixation de la contribution due par le parent non gardien pour l'entretien des siens (TF 5A_511/2010 du 4 février 2011 c. 3; TF 5A_352/2010 du 29 octobre 2010 c. 6.2.1). En outre, les allocations pour les enfants doivent être versées en sus de la contribution d'entretien (art. 285 al. 2 CC). c) Compte tenu de ce qui précède, c'est un montant de 14'583 fr., dont sont exclus les 400 fr. reçus à titre d'allocations pour enfants, qui doit être retenu comme revenus de l'appelant. En outre, les allocations familiales que A.L.________ perçoit pour ses deux enfants, et qu'il doit verser à l'intimée en sus de la contribution d'entretien, doivent être déduites dans le calcul du minimum vital de l'intimée et des enfants dont elle a la garde.</w:t>
      </w:r>
    </w:p>
    <w:p>
      <w:r>
        <w:rPr>
          <w:b/>
        </w:rPr>
        <w:t>E. 6</w:t>
      </w:r>
    </w:p>
    <w:p>
      <w:r>
        <w:t>a) A.L.________ reproche ensuite au premier juge de s'être contenté du constat que l'intimée ne réalise en l'état aucun revenu. A l'appui de ce moyen, il soutient qu'au vu de l'âge des enfants et du fait que l'intimée a achevé une formation de vendeuse, celle-ci serait à même de reprendre une activité professionnelle, à temps partiel, dans le secteur de la vente, qui lui permettrait aisément de réaliser un revenu mensuel net de l'ordre de 1'800 fr., de sorte qu'il y aurait lieu de prendre en considération un revenu hypothétique de ce montant. Pour le cas où un revenu hypothétique ne serait pas retenu, A.L.________ conteste la prise en compte des frais de crèche pour l'enfant C.L.________ dans les charges de T.________. En effet, dans la mesure où elle n'exerce pas d'activité lucrative, l'intimée devrait avoir le temps nécessaire de s'occuper de son enfant sans avoir besoin de faire appel à une crèche. b) Selon la jurisprudence, on ne peut en principe exiger d'un époux la prise ou la reprise d'une activité lucrative à un taux d'activité de 50 % avant que le plus jeune des enfants n'ait atteint l'âge de dix ans révolus, et de 100 % avant qu'il n'ait atteint l'âge de seize ans révolus (ATF 115 II 6 c. 3c). Récemment, le Tribunal fédéral a confirmé la validité de ces lignes directrices dès lors que, comme par le passé, la garde et les soins personnels sont dans l'intérêt des enfants en bas âge, ainsi que ceux en âge de scolarité, et que les soins personnels représentent un critère essentiel lors de l'attribution de la garde (TF 5A_909/2010 du 4 avril 2011, in SJ 2011 I 315 c. 5.2.1). c) En l'espèce, au vu de l'âge des enfants dont la garde a été confiée à l'intimée, soit sept ans et quatre ans et demi, on ne saurait lui imposer de reprendre une activité professionnelle, même à temps partiel. En revanche, dans ces circonstances, il n'y a pas lieu de prendre en considération les frais de garderie de l'enfant C.L.________ dans les charges incompressibles de T.________, celle-ci n'ayant pas établi en quoi il serait indispensable pour elle de confier cet enfant à une crèche.</w:t>
      </w:r>
    </w:p>
    <w:p>
      <w:r>
        <w:rPr>
          <w:b/>
        </w:rPr>
        <w:t>E. 7</w:t>
      </w:r>
    </w:p>
    <w:p>
      <w:r>
        <w:t>a) L'appelant critique l'appréciation du premier juge qui a estimé qu'il n'y avait pas lieu de tenir compte des impôts dans le calcul de son minimum. En effet, A.L.________ relève que, selon la jurisprudence, s'il n'y a pas lieu de prendre en considération les impôts courants lorsque les moyens du débirentier sont insuffisants, il en va différemment lorsqu'il résulte de la comparaison des revenus et des charges respectives des époux que ceux-ci disposent d'un excédent justifiant la prise en compte de la charge fiscale courante. Dans le cas d'espèce, l'appelant considère qu'il faudrait prendre en compte le montant intégral des impôts courants dans le calcul de son minimum vital puisqu'il s'acquitte de la totalité de cette charge fiscale, l'intimée ne percevant aucun revenu. b) D'après la jurisprudence, si, dans le cadre de l'application de la méthode du minimum vital avec répartition de l'excédent, les moyens financiers des époux sont insuffisants pour couvrir leur minimum vital au sens de la LP, il n'y a pas lieu de retenir les impôts courants dans leurs charges incompressibles (ATF 127 III 68 c. 2b; ATF 127 III 289 c. 2a/bb; ATF 126 III 353 c. 1a/aa; TF 5A_511/2010 du 4 février 2011 c. 2.2.3). En revanche, lorsque les moyens financiers des parties sont suffisants, la charge fiscale courante (à l'exclusion des arriérés d'impôts) doit être prise en considération (TF 5A_511/2010 du 4 février 2011 c. 2.2.3; TF 5A_383/2007 du 9 novembre 2007 c. 2). Ces principes s'appliquent aussi bien en mesures provisionnelles selon l'art. 276 CPC (TF 5P.269/2004 du 3 novembre 2004 c. 3.5; TF 5P.121/2002 du 12 juin 2002 c. 3.2, résumé in FamPra.ch 2002 p. 838) qu'en mesures protectrices de l'union conjugale selon l'art. 176 CC (TF 5A_511/2010 du 4 février 2011 c. 2.2.3; TF 5A_383/2007 du 9 novembre 2007 c. 2). c) En l'espèce, il subsiste après couverture du minimum vital respectif des parties un excédent qui permet largement de retenir les impôts courants dans les charges incompressibles des parties. Etant convenues de vivre séparément pour une durée indéterminée, les parties seront imposées séparément. Au vu de l'impossibilité d'estimer précisément leur charge d'impôts respective future, il convient de partir du principe que la charge d'impôts globale sera comparable à la charge actuelle (qui s'élève à 2'450 fr. par mois) et qu'elle sera plus élevée pour l'appelant que pour l'intimée en raison des quotients familiaux respectifs. On prendra ainsi en considération un montant de 1'630 fr. (correspondant aux deux tiers de la charge fiscale actuelle) dans les charges incompressibles de l'appelant et de 820 francs (correspondant à un tiers de la charge fiscale globale actuelle) dans celle de l'intimée.</w:t>
      </w:r>
    </w:p>
    <w:p>
      <w:r>
        <w:rPr>
          <w:b/>
        </w:rPr>
        <w:t>E. 8</w:t>
      </w:r>
    </w:p>
    <w:p>
      <w:r>
        <w:t>a) Il résulte de ce qui précède que les charges incompressibles de T.________ s'élèvent à 6'230 fr. par mois, comprenant 3'270 fr. de frais de logement, 390 francs de prime d'assurance maladie pour elle-même et les deux enfants, 820 francs d'impôts, 1'350 fr. de montant de base pour elle-même et 800 francs de montants de base pour les deux enfants, dont il convient de déduire les allocations familiales de 400 francs que l'appelant doit verser en sus de la contribution d'entretien. S'agissant des charges incompressibles de A.L.________, elles s'élèvent à 4'863 fr. par mois, comprenant 1'030 fr. de frais de logement, 303 francs de primes d'assurances maladie, 700 fr. de frais professionnels (ce montant incluant les frais de déplacement, de repas à l'extérieur et toutes autres charges relatives à l'acquisition du revenu), 1'630 fr. d'impôts et 1'200 fr. de montant de base. b) Le revenu de l'appelant s'élevant à 14'583 fr. par mois, il lui reste après couverture de ses charges incompressibles (soit 4'863 fr.) un excédent de 9'720 francs par mois. Ce montant doit servir en premier lieu à couvrir les charges incompressibles de l'intimée, qui s'élèvent à 6'230 fr. par mois. Le solde disponible de 3'490 fr. (9'720 fr. moins 6'230 fr.) doit être réparti à raison de 60 % (soit 2'094 fr.) pour l'intimée, qui a la garde et la charge des enfants, et de 40 % (soit 1'396 fr.) pour l'appelant. La contribution due par l'appelant pour l'entretien des siens doit ainsi être fixée à 8'300 fr. en chiffres ronds (6'230 fr. plus 2'094 fr.), allocations familiales en sus.</w:t>
      </w:r>
    </w:p>
    <w:p>
      <w:r>
        <w:rPr>
          <w:b/>
        </w:rPr>
        <w:t>E. 9</w:t>
      </w:r>
    </w:p>
    <w:p>
      <w:r>
        <w:t>En définitive, l'appel doit être partiellement admis et le prononcé attaqué réformé au chiffre I de son dispositif en ce sens que A.L.________ contribuera à l'entretien des siens par le régulier versement de la somme de 8'300 fr., allocations familiales en sus, payable d'avance le premier de chaque mois, en mains de T.________, dès et y compris le 1 er mars 2011, le prononcé étant maintenu pour le surplus. Vu l'issue et la nature du litige, les frais judiciaires de deuxième instance, qui doivent être arrêtés à 1'500 fr. (art. 65 al. 3 TFJC [Tarif des frais judiciaires civils du 28 septembre 2010, RSV 270.11.5]), seront répartis à parts égales entre les parties (art. 106 al. 2 et art. 107 al. 1 let. c CPC), de sorte que l'appelant a droit à la restitution par l'intimée de son avance de frais à concurrence de 750 francs (art. 111 al. 2 CPC), et les dépens (art. 95 al. 3 CPC) seront compensés. Par ces motifs, le juge délégué de la Cour d’appel civile du Tribunal cantonal, statuant à huis clos, prononce : I. L'appel est partiellement admis. II. Le prononcé est réformé au chiffre I de son dispositif comme il suit : I. dit que A.L.________ contribuera à l'entretien des siens par le régulier versement de la somme de 8'300 fr. (huit mille trois cents francs), allocations familiales en sus, payable d'avance le 1 er de chaque mois, en mains de T.________ , dès et y compris le 1 er mars 2011. Le prononcé est confirmé pour le surplus. III. Les frais judiciaires de deuxième instance, arrêtés à 1'500 fr. (mille cinq cents francs), sont mis pour moitié à la charge de l'appelant A.L.________ et pour moitié à la charge de l'intimée T.________ . IV. L'intimée T.________ doit verser à l'appelant A.L.________ la somme de 750 fr. (sept cent cinquante francs) à titre de restitution partielle d'avance de frais de deuxième instance. V. Les dépens de deuxième instance sont compensés. VI. L'arrêt motivé est exécutoire. Le juge délégué : Le greffier : Du 7 novembre 2011 Le dispositif de l'arrêt qui précède est communiqué par écrit aux intéressés. Le greffier : Du L'arrêt qui précède, dont la rédaction a été approuvée à huis clos, est notifié en expédition complète, par l'envoi de photocopies à : ‑ Me Bertrand Gygax (pour A.L.________), ‑ Me Cédric Thaler (pour 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