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618 vom 13. Oktober 2011</w:t>
      </w:r>
    </w:p>
    <w:p>
      <w:r>
        <w:t>VD Tribunal cantonal, 2011-10-13, FR</w:t>
      </w:r>
    </w:p>
    <w:p>
      <w:r>
        <w:rPr>
          <w:b/>
        </w:rPr>
        <w:t xml:space="preserve">Quelle: </w:t>
      </w:r>
      <w:r>
        <w:t>https://mcp.opencaselaw.ch/entscheid/vd_findinfo_HC___2011___618</w:t>
      </w:r>
    </w:p>
    <w:p>
      <w:r>
        <w:t>FR: VD_FINDINFO HC / 2011 / 618 du 13 octobre 2011</w:t>
      </w:r>
    </w:p>
    <w:p>
      <w:r>
        <w:t>IT: VD_FINDINFO HC / 2011 / 618 del 13 ottobre 2011</w:t>
      </w:r>
    </w:p>
    <w:p>
      <w:pPr>
        <w:pStyle w:val="Heading2"/>
      </w:pPr>
      <w:r>
        <w:t>Regeste</w:t>
      </w:r>
    </w:p>
    <w:p>
      <w:r>
        <w:t>OBLIGATION D'ENTRETIEN, PRESTATION DE PRÉVOYANCE | 125 CC, 4 al. 1 CPC, 451 ch. 2 CPC, 452 al. 2 CPC, 466 CPC, 405 al. 1 CPC (CH)</w:t>
      </w:r>
    </w:p>
    <w:p>
      <w:pPr>
        <w:pStyle w:val="Heading2"/>
      </w:pPr>
      <w:r>
        <w:t>Erwägungen</w:t>
      </w:r>
    </w:p>
    <w:p>
      <w:r>
        <w:rPr>
          <w:b/>
        </w:rPr>
        <w:t>E. 30</w:t>
      </w:r>
    </w:p>
    <w:p>
      <w:r>
        <w:t>novembre 2014, enfin de 1'500 fr. dès lors et jusqu’au 30 novembre 2016. Le Tribunal n’a par conséquent pas statué ultra petita s’agissant du montant de la pension octroyée à l’intimée. Sur le vu de ce qui précède, on ne saurait reprocher au Tribunal de première instance d’avoir violé la maxime des débats ou apprécié les preuves de manière arbitraire. 5. Sont litigieux en l'espèce le montant et la durée de l'entretien après divorce au sens de l'art. 125 CC alloué à l'ex-épouse. 5.1 Le recourant considère que le taux d’activité et les revenus hypothétiques retenus ont été largement sous-évalués. Il estime que l’intimée serait en mesure de travailler à 50 %, de réaliser au minimum un bénéfice net de 2'000 fr. par mois dès janvier 2012 et de subvenir ainsi à sa propre indépendance financière au-delà du mois de décembre 2011. Il soutient également que l’invalidité de C.R.________ ne saurait justifier une réduction du temps de travail de l’intimée qui, en qualité d’indépendante, doit pouvoir jongler entre sa vie professionnelle et ses charges familiales. L’intimée estime que le disponible du recourant par 4'262 fr., calculé en fonction du salaire réalisé en 2010 et non pas en 2009, doit couvrir son propre déficit de 700 fr. puis être divisé par deux, de sorte qu’elle aurait ainsi droit à un montant de 2'500 fr. jusqu’au 30 novembre 2012, puis de 2'000 fr. jusqu’au 30 novembre 2014, puis de 1'500 fr. jusqu’au 30 novembre 2016. Elle explique, en bref, qu’elle ne peut augmenter ses revenus par 500 fr. avant le mois de décembre 2012, qu’elle souhaite à terme pouvoir dégager un revenu mensuel brut de l’ordre de 2'000 fr. par mois, pour une activité à 50 %, soit 1'500 fr. net par mois compte tenu des déductions sociales et des frais de garde et qu’une répartition par moitié du solde disponible s’impose pour lui garantir un niveau de vie convenable. 5.2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TF 5A_478/2010 du 20 décembre 2010 c. 4.1.1).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137 III 102 c. 4.2.1; 134 III 145 consid. 4). En l'espèce, le mariage des parties a duré plus de sept ans jusqu’à la séparation intervenue en mars 2005. Ils ont eu deux enfants, nés en 1999 et en 2000, dont la garde a été attribuée à la mère. Cette dernière, qui a interrompu son activité professionnelle d’employée de bureau à la naissance du premier enfant, ne s’est lancée dans une formation en soins esthétiques et massage qu’après la séparation. Il est dès lors constant que le mariage a exercé une influence concrète et durable sur la situation financière de l’épouse. 5.3 Lorsqu'il s'agit de fixer la contribution à l'entretien d'un conjoint dont la situation financière a été concrètement et durablement influencée par le mariage, l'art. 125 CC prescrit de procéder en trois étapes (ATF 137 III 102; 134 III 145 c. 4; cf. également la précision apportée à cet arrêt in ATF 134 III 577 c. 3, ainsi que les arrêts TF 5A_249/2007 du 12 mars 2008 c. 7.4.1 et 5A_288/2008 du 27 août 2008 c. 5). 5.3.1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(ATF 137 III 102; 132 III 598 c.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arrêt TF 5A_352/2010 du 29 octobre 2010 c. 6.2.1; ATF 137 III 59 c. 4.2 ; 137 III 102). C’est pour la répartition de l’excédent que l’on raisonnera à partir du train de vie antérieur des époux, le conjoint créancier n’ayant pas droit à un train de vie supérieur à celui qui prévalait durant la vie commune (Hohl, « Quelques lignes directrices et quelques questions de recevabilité des recours selon la jurisprudence du Tribunal fédéral » in « Symposium en droit de la famille : Procédure et exécution en droit de la famille 2011 », Université de Fribourg). quelques lignes directrices et questions de recevabilité des recours selon la jurisprudence du TF). 5.3.2 La deuxième étape relative à l'application de l'art. 125 CC consiste à examiner dans quelle mesure chacun des époux peut financer lui-même l'entretien arrêté à l'étape précédente du raisonnement (ATF 134 III 145 c. 4; 134 III 577 c. 3).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 ; en revanche, déterminer quel revenu la personne a la possibilité effective de réaliser est une question de fait (ATF 128 III 4 c. 4c/bb).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 5a; arrêts TF 5A_76/2009 du 4 mai 2009 c. 6.2.3; 5C.320/2006 du 1 er février 2007 c. 5.6.2.2). La présomption peut être renversée, en fonction d'autres éléments qui plaideraient en faveur de la prise ou de l'augmentation d'une activité lucrative (cf. arrêts TF 5A_6/2009 du 30 avril 2009 c. 2.2; 5A_76/2009 du 4 mai 2009 c. 6.2.5; 5A_210/2008 du 14 novembre 2008 c. 4.4 et 3.4, non publié in ATF 135 III 158). La limite d'âge tend à être augmentée à 50 ans (arrêt TF 5A_206/2010 du 21 juin 2010 c. 5.3.2 et les arrêts cités).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 TF 5A_210/2008 du 14 novembre 2008 c. 3.2, non publié in ATF 135 III 158). Elles ne sont toutefois pas des règles strictes; leur application dépend des circonstances du cas concret (arrêt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TF 5A_6/2009 du 30 avril 2009 c. 2.2). Le juge du fait tient compte de ces lignes directrices dans l'exercice du large pouvoir d'appréciation qui est le sien (ATF 134 III 577 c. 4). 5.3.3 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(ATF 134 III 145 c. 4 et les arrêts cités). A ce stade, les critères de l'art. 129 al. 1 CC doivent être pris en considération, par analogie. 5.4 En l’espèce, les époux A.R.________ n’ont pas démontré, ni même allégué qu’ils avaient fait des économies durant la vie commune. Ils dépensaient par conséquent, chaque mois, l’entier de leurs revenus. En application de la jurisprudence précitée, un calcul selon le minimum vital élargi peut donc entrer en ligne de compte, le train de vie antérieur des époux étant déterminant pour la répartition de l’excédent. 5.4.1 S’agissant des ressources de l’intimée, le Tribunal de première instance a retenu que celle-ci devait actuellement pouvoir tirer de son activité professionnelle un bénéfice estimé à 500 fr. par mois au minimum, que la période d’adaptation nécessaire pour l’obtention d’un gain supérieur pouvait être fixée à 18 mois, soit jusqu’au 1 er janvier 2012 et que, même si l’intimée tablait sur un revenu de 2'000 fr. par mois dans le futur, il fallait retenir un montant net moins élevé de 1'500 fr. par mois, vu la présence des deux enfants, dont l’un nécessitait une attention et des soins particuliers et compte tenu d’éventuels frais de garde. Le recourant soutient que les revenus hypothétiques retenus ci-dessus ont été largement sous-évalués. Il considère que l’intimée a droit à un soutien de 1'600 fr. par mois jusqu’en décembre 2011, ensuite de quoi elle devra subvenir seule à ses besoins. L’intimée estime, pour sa part, que la date du 1 er janvier 2012 pour qu’elle soit en mesure d’augmenter ses revenus est irréaliste et que, par la suite, un revenu mensuel net de 1'500 fr. doit être considéré comme la limite supérieure du salaire réalisable. X.________ est née en 1968 et a deux enfants à charge B.R.________, né le 12 septembre 1999 et C.R.________, né le 25 novembre 2000. Ce dernier est affecté depuis la naissance d’une paralysie faciale du côté droit. Selon une attestation établie par une physiothérapeute [...] le 9 octobre 2009, il est suivi en traitement de physiothérapie, pour la rééducation de cette affection, à raison d’une séance toutes les deux à trois semaines en période scolaire. Un certificat médical du Dr [...] du 14 septembre 2009 atteste en outre que le problème de santé de C.R.________ nécessite l’application très régulière, environ toutes les deux heures, de gel dans son œil droit. Sans CFC, X.________ a entrepris, après sa séparation, une formation d’esthéticienne qu’elle a achevée le 8 juin 2010 par l’obtention d’une confirmation d’agrégation pour le massage classique, ce qui permet ou facilite apparemment le remboursement des prestations par les caisses maladie. L’intimée a travaillé, dès le mois d’avril 2009, comme esthéticienne et masseuse indépendante au [...] Club, à [...]. Le contrat de location de la cabine qui était mise à sa disposition ayant été résilié par le responsable du club, elle a cherché un nouveau local, qu’elle a trouvé à [...], dès le 1 er août 2010, au prix de 300 fr. par mois. Les témoins entendus aux débats de première instance ont décrit l’intimée comme très motivée et très travailleuse. Le compte d’exploitation d’X.________ pour la période du 1 er avril 2009 au 31 décembre 2009 indique une perte de 1'665 fr. 15. Même si elle admet que ce résultat est discutable, vu la prise en compte dans les charges d’un amortissement purement comptable de 825 fr., l’intimée soutient qu’elle n’a pas tiré de gain net de son activité professionnelle en 2009. Le compte d’exploitation de l’intéressée pour l’année 2010 indique un chiffre d’affaires pour les soins de 14'047 fr. Les charges comprennent 1'506 fr. 55 de marchandises, 108 fr. de charges salariales, 1'950 fr. de loyer, 7 fr. 20 de frais bancaires, 11'604 fr. 95 de frais généraux divers et 825 fr. d’amortissement sur le matériel, de sorte que l’exercice se solde par une perte de 1'954 fr. 70. Certains frais retenus par l’intimée dans le décompte précité sont contestables et/ou trop élevés. Il en va ainsi plus particulièrement de certains frais généraux relatifs par exemple aux frais de bureau, de téléphone, de publicité, d’habits et formation. Au regard de ce document, on doit admettre que l’intimée est en mesure de réaliser un bénéfice. Par ailleurs, selon l’association suisse d’esthéticiennes propriétaires d’instituts de beauté et de relaxation, le salaire moyen d’une esthéticienne sortant de formation est de 1'600 fr. pour un taux d’occupation à 50 % + 5 à 10 % soins cabines et vente de produits (participation au chiffre d’affaires). Au regard de la formation effectuée, de l’installation de l’entreprise de l’intimée à [...] dès le 1 er août 2010, des comptes d’exploitation 2009 et 2010 produits par l’intéressée, des déclarations des témoins aux débats de première instance, des deux enfants à charge dont l’un nécessite davantage de soins en raison d’une affection de naissance, on peut retenir, comme les premiers juges, qu’X.________ doit pouvoir réaliser, en travaillant à 50 %, un montant de 500 fr. par mois au minimum pour le moment et jusqu’au 1 er janvier 2012, puis de 1'500 fr. jusqu’au 16 ans du dernier enfant. Contrairement à ce que semble penser l’intimée, la date butoir retenue par les premiers juges au 1 er janvier 2012 pour admettre une augmentation de ses revenus n’est pas déraisonnable, ni irréaliste. On ne saurait arrêter au 30 novembre 2012 le palier du passage d’un revenu de 500 fr. à un revenu supérieur. En effet, la période d’adaptation de dix-huit mois nécessaire pour l’obtention d’un gain supérieur à 500 fr. est adéquate au regard de la nouveauté et de la nature de l’activité de l’intéressée. Par ailleurs, on peut admettre que si, dans cet intervalle, son entreprise devait toujours être déficitaire, elle devrait alors trouver un emploi rémunéré dans sa branche qui lui permettra, selon les documents qu’elle a elle-même produits, de réaliser un revenu mensuel d’environ 1'600 fr. pour une activité à temps partiel. Contrairement aux allégués du recourant, le montant de 1'500 fr. n’est pas sous-évalué; il est au contraire tout à fait adéquat au regard de la formation récente entreprise par l’intimée, de la nature de ses activités et de ses obligations familiales telles que décrites ci-dessus. Ce montant correspond d’ailleurs au revenu d’une esthéticienne débutante travaillant à mi-temps, étant encore rappelé que l’intimée a deux enfants à charge. Enfin, la durée de la pension fixée par les premiers juges n’est pas contestable, dès lors que celle-ci a été allouée jusqu’au 30 novembre 2016, mois au cours duquel l’enfant cadet aura atteint sa seizième année et date à laquelle il pourra par conséquent être exigé de l’épouse qu’elle travaille à plein temps. 5.4.2 S’agissant des charges de l’intimée, les premiers juges ont retenu que celles-ci s’élevaient à 4'505 fr. 80 par mois. Ce montant inclut la base mensuelle pour un débiteur monoparental de 1’350 fr, la base mensuelle pour les enfants de1'200 fr., le loyer de 1'217 fr., la prime d'assurance-maladie de 160 fr. 60, les frais de santé supplémentaires de 41 fr. 60, la prime d'assurance-maladie pour les enfants de 21 fr. 80, des frais de transport de 150 fr. et les impôts de 364 fr. 80. Les parties ne contestent pas le montant de ces charges. Au regard des chiffres précités, on doit admettre, comme le Tribunal d’arrondissement, qu’avec un gain actuel estimé à 500 fr., auquel s’ajoutent les pensions dues aux enfants, qui totalisent bientôt 2'900 fr. et les allocations familiales par 400 fr., que le découvert de l’intimée s’élève à 700 fr. Dès le 1 er janvier 2012, avec un gain augmenté à 1'500 fr., l’intimée aura un disponible de 300 fr. A l’exception des gains hypothétiques de l’intimée, les chiffres précités ne sont d’ailleurs pas contestés par les parties. 5.4.3 S’agissant des ressources du recourant, le Tribunal d’arrondissement a retenu que ce dernier a réalisé un revenu déterminant de 11'142 fr. 25 net par mois en 2009. Son minimum vital, arrêté à 4'945 fr. 30, comprend 850 fr. de base mensuelle, 150 fr de droit de visite, 1'615 fr. de frais de logement, 170 fr. d’assurance-maladie, 1'215 fr. de frais de transport, 195 fr. 30 de repas pris à l’extérieur et 750 fr. d’impôts. Compte tenu d’un revenu déterminant de 11'142 fr. 25 net par mois en 2009, et après paiement des pensions dues aux enfants par 2’900 fr., il reste à A.R.________ un montant de 3'297 fr. une fois ses besoins vitaux couverts. S’agissant des ressources du recourant, l’intimée reproche aux premiers juges de ne pas avoir tenu compte de la capacité contributive effective du recourant au jour du jugement de divorce, soit en juin 2010. Certes, au moment du divorce, le recourant réalisait un revenu supérieur à celui de 2009. Reste qu’au regard des éléments du dossier, ce revenu ne correspond pas à une augmentation de 965 fr. par mois telle qu’alléguée par l’intimée. En effet, selon les pièces au dossier, le recourant percevait un revenu annuel de 141'496 fr. en 2009, puis de 145'286 fr. en 2010. Ces montants ne correspondent toutefois pas aux revenus annuels nets de l’intéressé, dès lors que, selon la déclaration d’impôts 2009, le salaire annuel s’élevait à 133'707 fr., allocations familiales déduites. Par ailleurs, le fait que l’autorité de première instance n’ait pas constaté une augmentation entre les salaires 2009 et 2010 n’est pas décisif, dès lors que la répartition de l’excédent doit en définitive tenir compte de manière adéquate du niveau de vie antérieur, soit durant le mariage et non pas durant la séparation. Or, les parties vivent séparées depuis 2005. Dans ces conditions, le grief doit être rejeté. 5.4.4 Le Tribunal d’arrondissement a retenu que le montant de la contribution due par A.R.________ devait à tout le moins couvrir le découvert actuel de l’intimée, soit un montant de 700 fr. par mois, ce qui laissait encore un disponible de 2'597 fr. chez le recourant (3'297 fr. – 700 fr.). Vu le niveau de vie des parties pendant le mariage, et compte tenu du fait que A.R.________ a sensiblement augmenté son revenu depuis la séparation, ce qui doit lui profiter, le Tribunal a considéré qu’il se justifiait d’attribuer une part plus faible de ce disponible à l’intimée, soit un montant de 900 fr. Il a donc fixé la pension mensuelle en faveur de l’épouse à 1'600 fr. par mois (900 fr. + 700 fr.), puis à 800 fr. dès le 1 er janvier 2012, date à laquelle cette dernière devait être en mesure d’avoir un disponible de 300 fr. L’intimée reproche aux premiers juges d’avoir considéré que la progression salariale du recourant ne devait profiter qu’à ce dernier alors que celle-ci correspond à une évolution naturelle au sein de [...] et estime qu’une répartition par moitié du solde disponible s’impose pour lui garantir, ainsi qu’aux enfants, un niveau de vie convenable. L’appréciation des premiers juges n’est pas critiquable. En l’espèce, une répartition de l’excédent par moitié ne se justifie pas. En effet, le conjoint créancier n’a pas droit à un train de vie supérieur à celui qui prévalait durant la vie commune. Or, en 2005, date à laquelle les parties se sont séparées, le revenu déterminant du recourant était de l’ordre de 9'150 fr. net par mois et les époux ont vécu, durant la vie commune, sur ce seul revenu, à l’exception de quelques montants accessoires réalisés par l’épouse peu avant la séparation. Au regard de ce salaire, on peut par conséquent admettre que l’intimée et les enfants avaient un train de vie mensuel de l’ordre de 5'490 fr. par mois (60 % de 9'150 fr.). Ainsi, au regard des montants perçus par l’intimée (cf. supra c. 5.4.2) et des pensions telles qu’arrêtées ci-dessus par les premiers juges, l’intimée conserve son train de vie antérieur. La critique est donc rejetée et le montant des pensions doit être confirmé. 6. L’intimée soutient que la convention partielle relative au partage de l’avoir LPP doit être considérée comme manifestement inéquitable, puisqu’elle est pénalisée d’un montant de 20'000 fr. Elle estime que les prétentions du recourant relatives au rachat de sa LPP sont abusives. 6.1 6.1.1 La convention sur les effets du divorce n'est valable qu'une fois ratifiée par le juge. Elle figure dans le dispositif du jugement (art. 140 al. 1 aCC). Aux termes de l'art. 140 al. 2 aCC, avant de ratifier une convention, le juge doit s'assurer que les époux l'ont conclue après mûre réflexion et de leur plein gré, qu'elle est claire et complète, et qu'elle n'est pas manifestement inéquitable. La ratification est dès lors subordonnée à cinq conditions : la mûre réflexion des époux, leur libre volonté, le caractère clair de la convention, son caractère complet et l'absence d'une inéquité manifeste.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(Sutter/Freiburghaus, Kommentar zum neuen Scheidungsrecht, n. 71 ad art. 140 CC). L’art. 140 al. 2 aCC ne permet pas au juge de refuser la ratification d’une convention qui ne lui paraîtrait pas totalement juste. Cette disposition n’est pas l’expression du contrôle de l’égalité dans l’échange (Pichonnaz, Commentaire romand, CC I, Bâle 2010, ad art. 140 CC, p. 1064). 6.1.2 Dans le cadre du partage de la prévoyance, la question de savoir s’il faut ajouter au nominal du versement anticipé un intérêt fictif selon les art. 22 LFLP et 12 OPP 2 est délicate et largement débattue (cf. Pichonnaz, op. cit., ad art. 122 CC, p. 838 et les réf. citées). On peut distinguer deux situations : En cas de versement anticipé antérieur au mariage, le Tribunal fédéral des assurances a considéré qu’il ne fallait pas tenir compte d’un intérêt fictif sur le montant du versement anticipé. Cela se justifie par le fait que tant les cotisations que le prélèvement du versement anticipé avaient eu lieu avant la conclusion du mariage, ce qui exclut tout partage (cf. ATF 128 V 230 c. 3c). En cas de versement anticipé postérieur au mariage, le Tribunal fédéral a jusqu’à présent laissé la question ouverte (cf. ATF 132 V 332 c. 4.4). La doctrine a proposé plusieurs solutions allant de l’absence totale de calcul de l’intérêt à la prise en compte de l’origine des fonds, du régime matrimonial ou d’un intérêt sur l’ensemble, sans distinction. Selon une partie des auteurs, la solution la plus équitable, mais aussi celle qui est la plus conforme au principe selon lequel l’institution de prévoyance ne doit pas d’intérêt sur les sommes versées pour l’acquisition du logement, consiste à ne pas calculer d’intérêt fictif sur le versement anticipé, mais à répartir la perte d’intérêts entre les conjoints. En effet, il est juste de considérer que le conjoint donnant son consentement accepte la possible perte de valeur de l’avoir de prévoyance investi dans l’immeuble, tout comme le conjoint qui demande à son institution de prévoyance un versement anticipé pour son logement. La perte éventuelle de valeur de l’immeuble est toutefois compensée par des économies sur les loyers et partant le maintien plus élevé des acquêts des conjoints ou, du moins, l’usage de ces biens à d’autres fins. La prise de valeur de l’immeuble est elle aussi répartie dans le régime de la participation aux acquêts ou de la communauté de biens. Cette éventuelle plus-value liée au versement anticipé est répartie de la même manière que ce qui se fait pour les dettes hypothécaires (cf. Pichonnaz, op. cit., ad art. 122 CC, pp. 839 et ss. et les réf. citées). 6.2 En l’espèce, on doit admettre que l'intimée a conclu la convention litigieuse après mûre réflexion et de son plein gré, dès lors qu’elle était assistée d’un mandataire tout au long de la procédure. Par ailleurs, la convention est claire et complète. Reste encore à examiner si cette convention a un caractère manifestement inéquitable. Le partage de la prévoyance selon les règles usuelles aboutirait à une dette de 157'263 fr. 70 du mari envers l’épouse (350'043 fr. + 35'515 fr. 60, divisé par deux, moins 35'515 fr. 60). A.R.________ a demandé à déduire de sa prestation de sortie le montant de quelque 59'000 fr. nécessaire au rachat de deux années et sept mois d’assurance. Ce rachat devait selon lui compenser la perte d’intérêts occasionnée par le prélèvement sur sa LPP du montant de 100'000 fr. affecté à l’achat de la maison de [...]. Après discussion, les parties sont convenues de prendre en compte un montant de 30'000 fr. à titre de perte d’intérêts. Elles ont ainsi déduit de la prestation de sortie du mari ce montant, de même que le montant de 10'000 fr. convenu entre elles pour la liquidation du régime matrimonial. Elles ont par conséquent arrêté la prestation de sortie du mari envers l’épouse à 137'263 fr. 70 (350'043 fr. + 35'515 fr. 60 – 30'000 fr. – 10'000 fr., divisé par deux, moins 35'515 fr. 60). La convention représente ainsi, pour l’épouse, une réduction de 20'000 fr. par rapport au partage usuel. Certes, conformément à la jurisprudence précitée, les versements anticipés antérieurs au mariage ne portent pas intérêts. Reste qu’en l’espèce, des motifs d’équité permettent de s’écarter de ce principe. En effet, le versement anticipé d’un montant de 100'000 fr. par A.R.________ a permis au couple d’économiser sur les intérêts hypothécaires, à savoir le montant du loyer pendant le mariage. Les époux ont par conséquent pu maintenir plus élevés leurs acquêts ou tout au moins user de ces biens à d’autres fins, ce dont l’épouse a également profité. De plus, la vente de l’immeuble concerné a permis de réaliser un bénéfice conséquent auquel a également pu participer l’épouse. En outre, la réduction opérée inclut également la créance en liquidation du régime matrimonial du mari envers son épouse, étant relevé à ce sujet que, selon les deux expertises, l’épouse était débitrice de son mari. En effet, dans la première expertise, le notaire [...] a bien conclu, dans un premier temps, à l’existence d’une dette de 4'010 fr. 15 du mari envers l’épouse. Il a toutefois relevé que le recourant avait émis des prétentions supplémentaires dans ses déterminations sur expertise et que si ces prétentions devaient être admises, l’épouse devrait plus de 20'000 fr. à son mari. Quant au second expert, il a conclu à l’existence d’une dette de 4'033 fr. 66, aussi en faveur du mari. Dans le cadre de la procédure, le recourant a conclu à ce que l'intimée soit reconnue sa débitrice de la somme de 26'900 fr.; cette dernière avait conclu au rejet de cette prétention. Enfin, il ne faut pas non plus perdre de vue que l’intimée va percevoir une contribution d’entretien jusqu’aux 16 ans de son fils cadet; or, cette rente contient également une part nécessaire à la constitution d’une prévoyance appropriée dans le futur (cf. ATF 134 III 577 c. 251; 127 III 289 c. 2a/aa). Au regard de l’ensemble des éléments précités, on peut admettre qu’une compensation très partielle en faveur du mari, pour les intérêts perdus sur le capital LPP retiré, ne constitue pas un abus de droit, que la dérogation à la jurisprudence exposée à l’ATF 128 V 230 se justifie pour des raisons d’équité et que la convention conclue entre les parties n’est pas manifestement inéquitable. 7. En conclusion, le recours principal et le recours joint doivent être rejetés, le jugement étant confirmé. Les frais de deuxième instance du recourant principal sont arrêtés à 300 fr. (art. 233 TFJC [tarif des frais judiciaires en matière civile du 4 décembre 1984]). A cet égard, le dispositif de l'arrêt qui a été adressé aux parties le 13 octobre 2011 comporte une erreur manifeste dans la mesure où il indique que les frais judiciaires mis à la charge du recourant principal sont arrêtés à 800 fr. En effet, dès lors que le recourant principal a versé une avance de frais de 300 fr., les frais de deuxième instance mis à sa charge sont arrêtés à ce montant. Quant aux frais de deuxième instance de la recourante par voie de jonction, ils sont arrêtés à 300 fr. (art. 233 TFJC). Il s'ensuit que le chiffre III du dispositif du présent arrêt est par conséquent modifié comme il suit : III. Les frais de deuxième instance du recourant principal, A.R.________, sont arrêtés à 300 fr. (trois cents francs) et ceux de la recourante par voie de jonction, X.________, à 300 fr. (trois cents francs). Compte tenu du sort des recours, les dépens de deuxième instance sont compensés (art. 92 al. 2 CPC-VD). Par ces motifs, la Chambre des recours du Tribunal cantonal, statuant à huis clos, prononce : I. Les recours sont rejetés. II. Le jugement est confirmé. III. Les frais de deuxième instance du recourant principal, A.R.________, sont arrêtés à 300 fr. (trois cents francs) et ceux de la recourante par voie de jonction, X.________, à 300 francs (trois cents francs). IV. Les dépens de deuxième instance sont compensés. V. L'arrêt motivé est exécutoire. Le président :               La greffière : Du 13 octobre 2011 Le dispositif de l'arrêt qui précède est communiqué par écrit aux intéressés. La greffière : Du L'arrêt qui précède, dont la rédaction a été approuvée à huis clos, est notifié en expédition complète, par l'envoi de photocopies, à : ‑ Me Véronique Fontana (pour A.R.________), ‑ Me Matthieu Genillod (pour 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