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610 vom 28. Oktober 2011</w:t>
      </w:r>
    </w:p>
    <w:p>
      <w:r>
        <w:t>VD Tribunal cantonal, 2011-10-28, FR</w:t>
      </w:r>
    </w:p>
    <w:p>
      <w:r>
        <w:rPr>
          <w:b/>
        </w:rPr>
        <w:t xml:space="preserve">Quelle: </w:t>
      </w:r>
      <w:r>
        <w:t>https://mcp.opencaselaw.ch/entscheid/vd_findinfo_HC___2011___610</w:t>
      </w:r>
    </w:p>
    <w:p>
      <w:r>
        <w:t>FR: VD_FINDINFO HC / 2011 / 610 du 28 octobre 2011</w:t>
      </w:r>
    </w:p>
    <w:p>
      <w:r>
        <w:t>IT: VD_FINDINFO HC / 2011 / 610 del 28 ottobre 2011</w:t>
      </w:r>
    </w:p>
    <w:p>
      <w:pPr>
        <w:pStyle w:val="Heading2"/>
      </w:pPr>
      <w:r>
        <w:t>Regeste</w:t>
      </w:r>
    </w:p>
    <w:p>
      <w:r>
        <w:t>AVOCAT D'OFFICE, INDEMNITÉ ÉQUITABLE, ASSISTANCE JUDICIAIRE | 110 CPC (CH), 122 al. 1 let. a CPC (CH)</w:t>
      </w:r>
    </w:p>
    <w:p>
      <w:pPr>
        <w:pStyle w:val="Heading2"/>
      </w:pPr>
      <w:r>
        <w:t>Erwägungen</w:t>
      </w:r>
    </w:p>
    <w:p>
      <w:r>
        <w:rPr>
          <w:b/>
        </w:rPr>
        <w:t>E. 1</w:t>
      </w:r>
    </w:p>
    <w:p>
      <w:r>
        <w:t>a) La décision entreprise a été communiquée le 7 octobre 2011, de sorte que les voies de droit sont régies par le CPC (Code de procédure civile du 19 décembre 2008; RS 272), entré en vigueur le 1 er janvier 2011 (art. 405 al. 1 CPC). b) La décision sur les frais ne peut être attaquée séparément que par un recours (art. 110 CPC). La jurisprudence et la doctrine admettent que le conseil juridique dispose à titre personnel d'un droit de recours au sujet de la rémunération équitable accordée (ATF 131 V 153 c. 1; Tappy, CPC commenté, Bâle 2011, n. 22 ad art. 122 CPC, p. 503).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10 jours (art. 321 al. 2 CPC). En l'espèce, déposé en temps utile par une partie qui y a intérêt,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Aux termes de l’art. 122 al. 1 let. a CPC, le conseil juridique commis d’office est rémunéré équitablement par le canton.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 stagiaire. Le législateur a ainsi renoncé à imposer le principe d'une pleine indemnisation, de sorte que les principes arrêtés dans la jurisprudence (ATF 132 I 201) gardent toute leur validité dans le cadre de l'art. 122 CPC. Pour fixer la quotité de l'indemnité du conseil d'office,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 3b; 117 la 22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b) La recourante conteste la réduction des heures opérées par le premier juge. Elle fait tout d'abord valoir que l'avancement de la procédure a été particulièrement laborieux et a nécessité quatre ans pour aboutir, différents éléments ayant compliqué et retardé la gestion du dossier. Ce grief ne saurait justifier une rémunération supplémentaire. En effet, si l'on constate que la recourante a effectivement déjà représenté sa cliente lors d'une première demande d'assistance judiciaire (cf. mémoire de demande de divorce du 16 mars 2009, all. 33, p. 6), elle ne prétend cependant pas qu'elle n'aurait pas été rémunérée pour celle-ci ou que certaines opérations la concernant auraient été ignorées. C'est donc à bon droit que le premier juge a fixé l'indemnité d'office due à partir 29 janvier 2010, date de début des opérations de la recourante dans le cadre de la seconde décision d'octroi de l'assistance judiciaire. La recourante prétend ensuite qu'elle a dû « multiplier les opérations afin de sauvegarder les intérêts de sa cliente », à savoir que plusieurs tentatives de divorce avec accord complet ont échoué, qu'elle a effectué plusieurs démarches pour localiser la partie adverse qui avait déménagé, que de nombreuses lettres adressées à cette dernière sont restées sans réponse avant le dépôt de la requête de mesures provisionnelles, que sa cliente ne comprend pas bien le français ni le système juridique suisse et que les contacts téléphoniques ou écrits ont été particulièrement importants. Le dossier serait ainsi « extrêmement complexe du point de vue humain et pratique ». Pour sa part, le premier juge a relevé que la recourante avait produit la liste de ses opérations sans indiquer le temps consacré à chacune d'entre elles; il a en outre retenu l'ensemble des opérations annoncées (cf. supra, let. C, ch. 3), en expliquant pourquoi il réduisait le nombre d'heures consacrées au dossier, c'est-à-dire eu égard à la nature et à la complexité de la cause, à la requête de mesures provisionnelles largement duplicatrice de la demande de divorce et à la négociation de la convention qui devait être incluse dans la durée de la deuxième audience de jugement. C'est donc en vain que la recourante se fonde sur des faits ignorés du premier juge pour contester son appréciation. Il lui appartenait de faire état de ces circonstances spéciales si elle entendait obtenir une rémunération sortant de l'évaluation usuelle. Ses moyens, fondés sur un état de fait différent de celui retenu en première instance, sont ainsi irrecevables compte tenu du pouvoir d'examen retreint de la Chambre des recours civile (cf. supra, c. 2). La recourante ne démontre du reste pas en quoi l'appréciation du premier juge serait arbitraire. Enfin, la recourante fait grief au premier juge de ne pas avoir donné le détail des 22 h 40 admises en définitive et d'avoir uniquement réduit les heures au tarif « avocat ». Comme on l'a vu ci-dessus, la rémunération du conseil juridique doit correspondre à un défraiement équitable, de sorte que le premier juge pouvait estimer l'indemnité due sans procéder à un calcul détaillé du temps consacré par la recourante à chaque opération, et ce d'autant plus que celle-ci ne l'a pas fait en produisant sa liste.</w:t>
      </w:r>
    </w:p>
    <w:p>
      <w:r>
        <w:rPr>
          <w:b/>
        </w:rPr>
        <w:t>E. 4</w:t>
      </w:r>
    </w:p>
    <w:p>
      <w:r>
        <w:t>En conclusion, il apparaît que la rémunération accordée équivaut, compte tenu de la liste des opérations produites, de la complexité de la cause et du résultat obtenu, à une rémunération équitable, si bien que le recours doit être rejeté et la décision entreprise confirmée.</w:t>
      </w:r>
    </w:p>
    <w:p>
      <w:r>
        <w:rPr>
          <w:b/>
        </w:rPr>
        <w:t>E. 5</w:t>
      </w:r>
    </w:p>
    <w:p>
      <w:r>
        <w:t>L'arrêt est rendu sans frais (art. 119 al.</w:t>
      </w:r>
    </w:p>
    <w:p>
      <w:r>
        <w:rPr>
          <w:b/>
        </w:rPr>
        <w:t>E. 6</w:t>
      </w:r>
    </w:p>
    <w:p>
      <w:r>
        <w:t>CPC). Il n'y a pas matière à allocation de dépens. Par ces motifs, la Chambre des recours civile du Tribunal cantonal, statuant à huis clos, en application de l'art. 322 al. 1 CPC, prononce : I. Le recours est rejeté. II. La décision est confirmée. III. L'arrêt motivé, rendu sans frais, est exécutoire. Le président :               La greffière : Du 31 octobre 2011 Le dispositif de l'arrêt qui précède est communiqué par écrit aux intéressés. La greffière : Du L'arrêt qui précède, dont la rédaction a été approuvée à huis clos, est notifié en expédition complète, par l'envoi de photocopies, à : ‑ Me J.________ La Chambre des recours civile considère que la valeur litigieuse est de 6'109 fr.95.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