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593 vom 2. November 2011</w:t>
      </w:r>
    </w:p>
    <w:p>
      <w:r>
        <w:t>VD Tribunal cantonal, 2011-11-02, FR</w:t>
      </w:r>
    </w:p>
    <w:p>
      <w:r>
        <w:rPr>
          <w:b/>
        </w:rPr>
        <w:t xml:space="preserve">Quelle: </w:t>
      </w:r>
      <w:r>
        <w:t>https://mcp.opencaselaw.ch/entscheid/vd_findinfo_HC___2011___593</w:t>
      </w:r>
    </w:p>
    <w:p>
      <w:r>
        <w:t>FR: VD_FINDINFO HC / 2011 / 593 du 2 novembre 2011</w:t>
      </w:r>
    </w:p>
    <w:p>
      <w:r>
        <w:t>IT: VD_FINDINFO HC / 2011 / 593 del 2 novembre 2011</w:t>
      </w:r>
    </w:p>
    <w:p>
      <w:pPr>
        <w:pStyle w:val="Heading2"/>
      </w:pPr>
      <w:r>
        <w:t>Regeste</w:t>
      </w:r>
    </w:p>
    <w:p>
      <w:r>
        <w:t>RÉSILIATION, BAIL À LOYER, PROCÉDURE SOMMAIRE, DEMEURE DU DÉBITEUR | 257 CPC (CH)</w:t>
      </w:r>
    </w:p>
    <w:p>
      <w:pPr>
        <w:pStyle w:val="Heading2"/>
      </w:pPr>
      <w:r>
        <w:t>Erwägungen</w:t>
      </w:r>
    </w:p>
    <w:p>
      <w:r>
        <w:rPr>
          <w:b/>
        </w:rPr>
        <w:t>E. 1</w:t>
      </w:r>
    </w:p>
    <w:p>
      <w:r>
        <w:t>L’ordonnance entreprise ayant été communiquée aux parties postérieurement au 31 décembre 2010, le recours est régi par le CPC (art. 405 al. 1 CPC). a) Pour décider si la voie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c.1.1; SJ 2001 I 17 c. 1a; ATF 119 II 147 c. 1). En l’espèce, le loyer mensuel s’élevant à 1'028 fr., la valeur litigieuse est supérieure à 10'000 fr., de sorte que la voie de l’appel est ouverte (art. 308 al. 2 CPC). La procédure de cas clair étant sommaire (art. 248 let. b CPC), le délai d'appel est de dix jours (art. 314 al. 1 CPC). L'appel, interjeté en temps utile, est ainsi recevable. b)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t. II, 2 e éd., Berne 2010, n. 2399 p. 435). L'appel peut être formé pour violation du droit (art. 310 let. a CPC). L'autorité d'appel applique le droit d'office : elle n'est pas liée par les motifs invoqués par les parties ou par le tribunal de première instance. Son pouvoir d'examen est plein et entier (Hohl, op. cit., n. 2396 p. 435; Spühler, Basler Kommentar, 2010, n. 1 ad art. 311 CPC, qui parle de « vollkommenes Rechtsmittel »).</w:t>
      </w:r>
    </w:p>
    <w:p>
      <w:r>
        <w:rPr>
          <w:b/>
        </w:rPr>
        <w:t>E. 2</w:t>
      </w:r>
    </w:p>
    <w:p>
      <w:r>
        <w:t>L’appelante soutient que le paiement effectué en date du 15 novembre 2010 a été imputé sur le loyer du mois d'octobre 2010, ce qui a conduit à la mise en demeure du 19 novembre 2010 et à la réclamation du paiement des loyers par trimestre d'avance conformément aux art. 7 et 9 RULV. Suite à sa seconde mise en demeure du 1 er décembre 2010 pour les loyers impayés de novembre 2010 à janvier 2011, elle considère que cette période est réglée puisque les versements des 8 et 20 décembre 2010 correspondent auxdits loyers. Ensuite, comme le loyer de février a été réglé le 3 mars 2011, celui du mois de mars le 1 er avril 2011 et celui du mois d'avril le 10 mai 2011, alors que le règlement des trois loyers aurait dû être effectué avant le délai comminatoire du 20 mars 2011 selon la nouvelle mise en demeure du 17 février 2011, elle en déduit que la résiliation du bail à loyer est valable. L'appelante précise enfin qu'elle n'a jamais reçu le versement du 7 février 2011. 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ou de locaux commerciaux peuvent être résiliés moyennant un délai de congé minimum de trente jours pour la fin d'un mois (al. 2). Selon l'art. 7 RULV, le loyer, les acomptes de chauffage et des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 loyer et les acomptes de chauffage et de frais accessoires soient acquittés trimestriellement à l'avance, dès le mois suivant l'échéance du délai fixé dans la mise en demeure (al. 2).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(CREC I du 18 février 2010/89; CREC I du 28 août 2007/420, résumé in CdB 2007, p. 129). L'art. 257d CO présuppose un retard dans le paiement du loyer (Lachat, Commentaire Romand, Code des obligations I, Bâle 2003, n. 2 ad art. 257d CO, p. 1332). L'avis comminatoire est dépourvu d'effet s'il porte sur un loyer qui n'est pas encore échu (ibidem, n. 5 ad art. 257d CO, p. 1333). En d'autres termes, si le bailleur a des créances qui ne permettent pas l'application de cet article et d'autres qui le permettent, le courrier doit les distinguer de manière précise, de sorte que le locataire puisse reconnaître sans difficulté les dettes à éteindre pour éviter la résiliation du bail (Lachat, Le bail à loyer, Lausanne 2008, p. 666). b) Aux termes de l’art. 257 CPC, le tribunal admet l’application de la procédure sommaire lorsque les conditions suivantes sont remplies (al. 1) : l’état de fait n’est pas litigieux ou est susceptible d’être immédiatement prouvé (let. a); la situation juridique est claire (let. b). Cette procédure est exclue lorsque l’affaire est soumise à la maxime d’office (al. 2). Le tribunal n’entre pas en matière sur la requête lorsque cette procédure ne peut pas être appliquée (al. 3). La procédure du cas clair est une procédure sommaire qui permet d’obtenir rapidement une décision sur le fond. Les règles des art. 252 à 256 CPC sont applicables. Le juge ne peut refuser de se saisir, mais doit rendre une décision définitive rapidement. Si les conditions de l’expulsion sont remplies, il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op.cit., n. 1454, p. 263). La protection dans des cas clairs est soumise aux conditions suivantes (Message du Conseil fédéral du 28 juin 2006, FF 2006, p. 6959; Sutter-Somm/Lötscher, Kommentar zur Schweizerischen Zivilprozessordnung, Zurich 2010, n. 5 ss ad art. 257 CPC , p. 1468 ss; CACI du 18 août 2011/199) : - les faits ne sont pas litigieux.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En principe, la preuve est rapportée par titres (art. 254 al. 1 CPC). Toutefois, d'autres moyens de preuve sont recevables si leur administration ne retarde pas sensiblement la procédure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Tel est le cas lorsque, sur la base d'une doctrine ou d'une jurisprudence éprouvée, la norme s'applique au cas concret et y déploie ses effets de manière évidente (ATF 118 II 302 c. 3). c) En l’espèce, les éléments du dossier ne permettent pas de déterminer à quelles dates les courriers du 19 novembre 2010 ont été précisément envoyés par la bailleresse, puis réceptionnés par leurs destinataires. On ignore donc si, par leur versement du 8 décembre 2010, les locataires se sont éventuellement valablement acquittés de leur loyer du mois de novembre 2010, pas plus qu'on ne sait si le versement précédemment effectué par les locataires le 11 novembre 2010 concerne le loyer du mois d'octobre ou du mois de novembre 2010. De plus, outre le fait que la bailleresse a produit un décompte sur lequel ne semblent pas figurer tous les paiements effectués par les locataires, les opérations indiquées ne permettent pas de ventiler clairement les versements, à savoir de vérifier à quels mois correspondent les paiements des locataires selon les récépissés postaux des 11 novembre 2010, 8 et 20 décembre 2010 et 7 février 2011 (le décompte du bailleur indiquant d'autres dates). Selon la liste qu'ils ont produite lors de l'audience du 1 er septembre 2011, les locataires affirment avoir réglé leur loyer du mois de novembre 2010 le 11 novembre 2010, celui de décembre 2010 le 8 décembre 2010 et ceux de janvier et février 2011 le 20 décembre 2010. Les copies des récépissés postaux fournies à l’appui de ces allégations tendent à démontrer la vraisemblance de leurs déclarations. De son côté, la bailleresse n’a pas produit les documents suffisants pour démontrer que les allégations des locataires seraient totalement dénuées de tout fondement. Force est ainsi de constater que des doutes subsistent tant concernant les dates exactes des paiements des loyers d'octobre 2010 à février 2011, que la possibilité pour la bailleresse de pouvoir réclamer le paiement des loyers par trimestre d'avance, ce que les locataires contestent également. Dans ces circonstances, on ne saurait reprocher au juge de paix d’avoir considéré que le cas ne pouvait être qualifié de clair au sens de l’art. 257 CPC, les conditions y relatives telles qu’exposées au considérant précédent n’étant pas réalisées.</w:t>
      </w:r>
    </w:p>
    <w:p>
      <w:r>
        <w:rPr>
          <w:b/>
        </w:rPr>
        <w:t>E. 3</w:t>
      </w:r>
    </w:p>
    <w:p>
      <w:r>
        <w:t>Sur le vu de ce qui précède, l'appel doit être rejeté dans la procédure de l'art. 312 al. 1 CPC et l'ordonnance confirmée.</w:t>
      </w:r>
    </w:p>
    <w:p>
      <w:r>
        <w:rPr>
          <w:b/>
        </w:rPr>
        <w:t>E. 4</w:t>
      </w:r>
    </w:p>
    <w:p>
      <w:r>
        <w:t>Les frais judiciaires de deuxième instance, arrêtés à 200 fr., sont mis à la charge de l’appelante, qui succombe (art. 106 al. 1 CPC; art. 62 al. 3 et 69 al. 1 TFJC [tarif des frais judiciaires civils du 28 septembre 2010; RSV 270.11.5]). Il n'est pas alloué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