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583 vom 24. Oktober 2011</w:t>
      </w:r>
    </w:p>
    <w:p>
      <w:r>
        <w:t>VD Tribunal cantonal, 2011-10-24, FR</w:t>
      </w:r>
    </w:p>
    <w:p>
      <w:r>
        <w:rPr>
          <w:b/>
        </w:rPr>
        <w:t xml:space="preserve">Quelle: </w:t>
      </w:r>
      <w:r>
        <w:t>https://mcp.opencaselaw.ch/entscheid/vd_findinfo_HC___2011___583</w:t>
      </w:r>
    </w:p>
    <w:p>
      <w:r>
        <w:t>FR: VD_FINDINFO HC / 2011 / 583 du 24 octobre 2011</w:t>
      </w:r>
    </w:p>
    <w:p>
      <w:r>
        <w:t>IT: VD_FINDINFO HC / 2011 / 583 del 24 ottobre 2011</w:t>
      </w:r>
    </w:p>
    <w:p>
      <w:pPr>
        <w:pStyle w:val="Heading2"/>
      </w:pPr>
      <w:r>
        <w:t>Regeste</w:t>
      </w:r>
    </w:p>
    <w:p>
      <w:r>
        <w:t>MESURE PROVISIONNELLE, COMPÉTENCE RATIONE LOCI, PROROGATION DE FOR | 82 CO, 13 CPC (CH), 261 CPC (CH), 265 CPC (CH), 308 al. 1 let. b CPC (CH)</w:t>
      </w:r>
    </w:p>
    <w:p>
      <w:pPr>
        <w:pStyle w:val="Heading2"/>
      </w:pPr>
      <w:r>
        <w:t>Erwägungen</w:t>
      </w:r>
    </w:p>
    <w:p>
      <w:r>
        <w:rPr>
          <w:b/>
        </w:rPr>
        <w:t>E. 1</w:t>
      </w:r>
    </w:p>
    <w:p>
      <w:r>
        <w:t>a) L’ordonnance attaquée a été rendue le 27 mai 2011, de sorte que les voies de droit sont régies par le CPC, entré en vigueur le 1 er janvier 2011 (art. 405 al. 1 CPC). b)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du 12 décembre 1979 d'organisation judiciaire, RSV 173.01]). Formé en temps utile par une partie qui y a intérêt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l’appelante ne fait pas valoir de faits ou de moyens de preuve nouveaux.</w:t>
      </w:r>
    </w:p>
    <w:p>
      <w:r>
        <w:rPr>
          <w:b/>
        </w:rPr>
        <w:t>E. 3</w:t>
      </w:r>
    </w:p>
    <w:p>
      <w:r>
        <w:t>a) Dans un premier moyen, l’appelante invoque l’incompétence ratione loci du Tribunal civil de l’arrondissement de l’Est vaudois, vu le siège de la société qui se trouve dans le canton de Bâle-Campagne, et reproche au premier juge de ne pas avoir prononcé le déclinatoire. b) L’art. 13 let. b CPC prévoit que, sauf disposition contraire de la loi, est impérativement compétent pour ordonner des mesures provisionnelles le tribunal du lieu où la mesure doit être exécutée. Cette disposition s’applique donc sous réserve de disposition contraire de la loi en matière de mesures provisionnelles (Haldy, in CPC commenté, Bâle 2011, n. 2 ad art. 13 CPC). S’il y a une clause de prorogation de for au fond, le juge prorogé peut être saisi d’une requête de mesures provisionnelles en vertu de l’art. 13 let. a CPC (Haldy, in CPC commenté, op. cit., n. 5 ad art. 13 CPC). Toutefois, en vertu de l’art. 13 let. b CPC, il est possible de requérir une protection provisoire d’un tribunal autre que celui qui a été désigné à titre exclusif dans une clause de prorogation de for, lorsque ce tribunal est seul à même d’ordonner en temps utile une mesure immédiatement exécutoire (ATF 125 III 451, JT 2000 I 163, p. 166 ; Haldy, in CPC commenté, op. cit., n. 7 ad art. 13 CPC). c) En l’occurrence, le Tribunal civil de l’arrondissement de l’Est vaudois, soit le tribunal du lieu où la mesure devait être exécutée, était compétent en vertu de l’art. 13 let. b CPC, dès lors que l’immeuble se trouvait à Vevey. Dans sa requête de mesures (super)provisionnelles, l’intimé a fait valoir qu’aucune convention séparée, prévue dans la convention initiale du 18 avril 1968 et censée contenir une clause de for ou une clause arbitrale, n’avait été retrouvée, ce qui l’avait amené à ouvrir action contre l’appelante à Zoug, où celle-ci avait son siège. L’intimé a indiqué en outre qu’il envisageait l’ouverture d’une nouvelle action au fond au nouveau siège de l’appelante, à Bâle-Campagne, portant sur le solde de la dette de l’appelante, soit 861‘710 fr. 90. Il n’est donc pas exclu que les parties soient liées par une clause de prorogation de for. Cela étant, au vu des principes énoncés ci-avant, même si l’on considérait que le juge prorogé compétent au fond aurait également pu être saisi d’une requête de mesures provisionnelles, le Tribunal civil de l’arrondissement de l’Est vaudois était le seul à même d’ordonner une mesure immédiatement exécutoire, dès lors que l’immeuble et les locataires concernés par la sommation écrite de l’appelante portant sur la coupure de la fourniture en énergie pour le chauffage prévue le 11 janvier 2011, soit en plein hiver, se trouvaient à Vevey. Dans cette hypothèse également, la compétence du Tribunal civil de l’arrondissement de l’Est vaudois était ainsi donnée. Il découle de ce qui précède que le moyen de l’appelante est mal fondé, nonobstant le fait que le premier juge s’est référé, pour fonder sa compétence ratione Ioci, à l’art. 36 CPC, en rapport avec la menace de l’appelante qui s’apparenterait à l’infraction pénale réprimée par l’art. 181 CP. Si une telle infraction est envisageable (cf. Favre/Pellet/Stoudmann, Code pénal annoté, Lausanne 2007, ch. 1.17 ad art. 181 CP et la réf. à l’ATF 115 IV 207 c. 2b), le détour par l’art. 36 CPC n’apparaît toutefois pas nécessaire, au vu des développements qui précèdent.</w:t>
      </w:r>
    </w:p>
    <w:p>
      <w:r>
        <w:rPr>
          <w:b/>
        </w:rPr>
        <w:t>E. 4</w:t>
      </w:r>
    </w:p>
    <w:p>
      <w:r>
        <w:t>ad art. 261 CPC et les réf.).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 2.3). Le requérant doit également rendre vraisemblable qu’un danger imminent menace ses droits (Bohnet, in CPC commenté, op. cit., nn. 7 à 12 ad art. 261 CPC). Quant au préjudice, on entend par là tant les dommages patrimoniaux que les dommages immatériels.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(cf. Treis, in Schweizerische Zivilprozessordnung (ZPO), Berne 2010, n. 8 ad art. 261 CPC ; Sprecher, in Basler Kommentar ZPO, Bâle 2010, n. 34 ad art. 261 CPC). Le risque de préjudice difficilement réparable suppose l’urgence. Cette notion, qu’on rattache parfois à celle de préjudice difficilement réparable (Bohnet, in CPC commenté,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(Hohl, La réalisation du droit et les procédure rapides, thèse d’habilitation, Fribourg 1994, n° 543). En résumé, saisi d’une requête de mesures provisionnelles, le juge doit examiner d’abord si le requérant est titulaire d’une prétention au fond, puis s’il est atteint ou s’il risque une atteinte. Pour examiner la réalisation de ces conditions, le juge se fonde sur les éléments de preuve immédiatement disponibles et se limite à un examen sommaire de la question de droit (cf. TF 5A_629/2009 du 25 février 2010 c. 4.2). Les exigences de preuve sont réduites et le juge peut se contenter de la vraisemblance des faits pertinents (TF 4A_420/2008 du 9 décembre 2008 c. 2.3 ; ATF 129 II 426 c. 3). Le juge doit accorder la protection requise si, sur la base d’un examen sommaire, la prétention invoquée au fond, soit le droit matériel invoqué, ne se révèle pas dénuée de chances de succès ; il procède alors à une pesée des intérêts en présence, en tenant compte du degré de vraisemblance de l’atteinte et du préjudice (Bohnet, in CPC commenté, op. cit., n. 14 ad art. 261 CPC). Lorsque les prétentions que le requérant a l’intention de faire valoir au principal se révèlent manifestement mal fondés en présence de ses propres allégués ou d’une preuve péremptoire, la requête doit être rejetée sans examen des conditions prévues à l’art. 261 al. 1 let. a et b (Bohnet, in CPC commenté, op. cit., n. 8 ad art. 261 CPC). c) En l’espèce, la mesure ordonnée par le premier juge est une mesure d’exécution anticipée (Leistungsmassnahme ; sur cette notion, cf. Byrde, Les mesures provisionnelles en droit du bail à loyer : examen de la jurisprudence récente, in 13 e Séminaire sur le droit du bail, Neuchâtel 2004, ch. 3, p. 4), ayant pour objet une obligation de faire, en l’occurrence la fourniture d’une prestation en nature (art. 262 let. d CPC), servant à obtenir provisoirement, en tout ou en partie, l’exécution de la prétention qui fait ou fera l’objet des conclusions de la demande au fond (Bohnet, in CPC commenté, op. cit., n. 11 ad art. 262 CPC ; ATF 125 III 451, JT 2000 I 163). Cette mesure se justifie en particulier lorsque l’écoulement du temps risque de rendre illusoire la protection des droits du requérant (ATF 131 II 473 c. 2.3). Comme l’a bien vu le premier juge, il s’agissait en l’espèce de protéger le droit du propriétaire à l’obtention de la fourniture d’énergie en faveur de ses locataires pour une période bien déterminée (période de chauffage, en particulier hivernale), l’écoulement du temps rendant illusoire la possibilité pour le requérant de satisfaire à son obligation contractuelle due pour cette période bien déterminée et risquant de rendre illusoire la possibilité pour le propriétaire d’éviter l’introduction de procédures à son encontre par ses locataires lésés, dans le cadre desquelles ceux-ci auraient du reste toutes les chances d’obtenir eux-mêmes la fourniture d’énergie nécessaire pour le chauffage par la voie de mesures provisionnelles (cf. dans ce contexte Byrde, op. cit., p. 25), indépendamment du non-paiement par l’intimé de la somme due à l’appelante. La coupure de chauffage pouvait en l’espèce devenir source de dommage pour l’intimé, que le gain du procès au fond n’aurait plus été en mesure de réparer. Dans le cadre de la pesée des intérêts à effectuer, l’atteinte portée à l’appelante, à savoir le non-paiement immédiat de la somme réclamée, n’atteint pas le degré de gravité pouvant empêcher l’octroi de la mesure d’exécution anticipée (Bohnet, in CPC commenté, op. cit., n. 13 ad art. 262 CPC), l’urgence de la situation mettant bien plus en danger les intérêts de l’intimé, voire ses locataires, que ceux de l’appelante, et l’aggravation de la situation pour l’intimé et ses locataires ne pouvant être évité d’une autre manière. Mal fondé, le moyen doit être rejeté.</w:t>
      </w:r>
    </w:p>
    <w:p>
      <w:r>
        <w:rPr>
          <w:b/>
        </w:rPr>
        <w:t>E. 5</w:t>
      </w:r>
    </w:p>
    <w:p>
      <w:r>
        <w:t>a) Dans un troisième moyen, l’appelante soutient que l’ordonnance entreprise n’établit nullement l’obligation à sa charge de fournir de l’énergie sans contrepartie financière simultanée, soit trait pour trait, pour le chauffage de l’immeuble n° [...]2, propriété de l’intimé. L’appelante fait valoir par ailleurs qu’elle était fondée à soulever l’exceptio non adimpleti contractus. b) L’exceptio non adimpleti contractus (cf. art. 82 CO [Code des obligations suisse du 30 mars 1911, RS 220]), qu’il appartient au débiteur d’invoquer, permet à celui-ci de refuser d’exécuter sa propre prestation jusqu’à ce que de son côté le créancier ait exécuté ou offert d’exécuter la sienne. L’admission de cette exception présuppose notamment que les prestations réciproques soient dues en vertu d’un seul et même contrat bilatéral parfait. Par ailleurs, le débiteur ne peut pas invoquer cette exception s’il conteste l’existence même de son obligation. L’exception est également sans portée si les prestations réciproques sont de même nature, puisqu’elles s’éteignent par compensation. Les prestations doivent être toutes deux exigibles, sinon leur exécution ne pourrait pas avoir lieu donnant donnant. Enfin, le créancier ne doit pas avoir exécuté ou offert d’exécuter sa prestation (Hohl, in Commentaire romand, CO I, Bâle 2003, nn. 3 ss ad art. 82 CO). c) En l’espèce, la prétention que l’appelante a requise dans sa lettre du 10 janvier 2011 concerne un montant de 35’590 fr.75 qui constituerait la part des frais de chauffage pour la période du 18 juillet à fin novembre 2010 afférent à l’immeuble – appartements loués – appartenant à l’intimé. Dans sa réponse du 13 janvier 2011, l’intimé a exposé, en substance, que lesdites prétentions ne semblaient pas échues et donc pas exigibles, l’appelante ayant réparti les montants de la facturation de W.________ SA sur deux propriétaires seulement, soit C.________ et elle-même, en omettant d’inclure le troisième propriétaire dans la répartition, d’où l’impossibilité pour l’intimé de connaître le montant exact à sa charge ; par ailleurs, la facturation ne respecterait pas les usages locaux dans le canton de Vaud en matière de décompte de frais de chauffage et de frais accessoires (distinction entre les charges incombant au propriétaire et aux locataires) ; et, enfin, rien ne prouverait que les factures de W.________ SA aient effectivement été payées par l’appelante, l’intimé invoquant du reste la compensation au sens des art. 120 CO avec ses propres prétentions découlant notamment des acomptes d’eau/gaz/électricité et chauffage déjà payés pour le compte et en lieu et place de l’appelante. Il en découle que l’intimé n’a pas refusé d’exécuter sa propre prestation, mais a invoqué que la prétention de l’appelante n’était pas déterminable en l’état, le décompte n’ayant pas été effectué en bonne et due forme ; l’intimé a en réalité contesté l’existence partielle de l’obligation. De plus, l’intimé a fait valoir la compensation et le fait que l’exigibilité des prestations n’était pas établie. Du point de vue de l’intimé, les conditions pour invoquer l’exceptio non adimpleti contractus ne seraient pas réalisées. Compte tenu de ce que le dossier ne contient, à ce stade de la procédure, aucun élément – voir en particulier la convention du 18 avril 1968 – qui infirmerait la position de l’intimé à cet égard, on ne voit pas que le premier juge aurait dû examiner ce moyen dans le cadre des mesures provisionnelles. Sur la base des développements de l’intimé et des pièces au dossier, par exemple le registre des poursuites concernant l’appelante, on peut également admettre qu’au terme d’un examen sommaire, des indices objectifs permettent de conclure que l’intimé pourra vraisemblablement invoquer avec succès la compensation dans le procès au fond, le juge des mesures provisionnelles ne pouvant au demeurant condamner provisionnellement un débiteur à payer (partiellement) la somme réclamée (cf. Byrde, op. cit., p. 5). Mal fondé, le moyen doit ainsi être rejeté.</w:t>
      </w:r>
    </w:p>
    <w:p>
      <w:r>
        <w:rPr>
          <w:b/>
        </w:rPr>
        <w:t>E. 6</w:t>
      </w:r>
    </w:p>
    <w:p>
      <w:r>
        <w:t>En définitive, l’appel doit être rejeté, en application de l’art. 312 al. 1 CPC, et l’ordonnance confirmée. Les frais judiciaires de deuxième instance, arrêtés à 1'000 fr. (art. 62 al. 1 TFJC [Tarif des frais judiciaires civils du 28 septembre 2010, RSV 270.11.5]), sont mis à la charge de l’appelante. L’intimé n’ayant pas été invité à se déterminer, il n’y a pas lieu de lui allouer des dépens de deuxième instance.</w:t>
      </w:r>
    </w:p>
    <w:p>
      <w:r>
        <w:rPr>
          <w:b/>
        </w:rPr>
        <w:t>E. 7</w:t>
      </w:r>
    </w:p>
    <w:p>
      <w:r>
        <w:t>Une erreur de plume s’est glissée au chiffre II du dispositif qui a été notifié aux parties le 25 octobre 2011. Celui-ci doit être rectifié d’office en application de l’art. 334 al. 2 CPC, en ce sens que le terme « prononcé » est remplacé par celui d’ « ordonnance » utilisé par le premier juge. Par ces motifs, la juge déléguée de la Cour d’appel civile du Tribunal cantonal, statuant à huis clos, en application de l'art. 312 al. 1 CPC, prononce : I. L’appel est rejeté. II. L’ordonnance est confirmée. III. Les frais judiciaires de deuxième instance, arrêtés à 1'000 fr. (mille francs), sont mis à la charge de l’appelante B.________ SA. IV. L’arrêt motivé est exécutoire. La juge déléguée : Le greffier : Du 25 octobre 2011 Le dispositif de l'arrêt qui précède est communiqué par écrit aux intéressés. Le greffier : Du L'arrêt qui précède, dont la rédaction a été approuvée à huis clos, est notifié en expédition complète, par l'envoi de photocopies, à : ‑ Me Philippe Richard (pour B.________ SA) ‑ Me Flurin von Planta (pour C.________) La juge déléguée de la Cour d’appel civile considère que la valeur litigieuse est de 35'590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