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581 vom 26. Oktober 2011</w:t>
      </w:r>
    </w:p>
    <w:p>
      <w:r>
        <w:t>VD Tribunal cantonal, 2011-10-26, FR</w:t>
      </w:r>
    </w:p>
    <w:p>
      <w:r>
        <w:rPr>
          <w:b/>
        </w:rPr>
        <w:t xml:space="preserve">Quelle: </w:t>
      </w:r>
      <w:r>
        <w:t>https://mcp.opencaselaw.ch/entscheid/vd_findinfo_HC___2011___581</w:t>
      </w:r>
    </w:p>
    <w:p>
      <w:r>
        <w:t>FR: VD_FINDINFO HC / 2011 / 581 du 26 octobre 2011</w:t>
      </w:r>
    </w:p>
    <w:p>
      <w:r>
        <w:t>IT: VD_FINDINFO HC / 2011 / 581 del 26 ottobre 2011</w:t>
      </w:r>
    </w:p>
    <w:p>
      <w:pPr>
        <w:pStyle w:val="Heading2"/>
      </w:pPr>
      <w:r>
        <w:t>Regeste</w:t>
      </w:r>
    </w:p>
    <w:p>
      <w:r>
        <w:t>PROTECTION DE L'UNION CONJUGALE, OBLIGATION D'ENTRETIEN, CONJOINT, MODIFICATION DES CIRCONSTANCES, DIRECTIVE{INJONCTION}, DÉBITEUR | 132 al. 1 CC, 176 al. 1 ch. 1 CC, 179 CC</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Formé en temps utile par une partie qui y a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l’appelant produit une copie des relevés de son compte postal pour les mois de juin et juillet 2011, qui indiquent pour chacun le débit de la somme de 600 fr. en faveur de son beau-fils. Remplissant les deux conditions cumulatives de l'art. 317 al. 1 CPC, ces pièces sont recevables. Il n'y a pas lieu d'examiner si les pièces n os 20 et 21 le sont également (extrait du registre du commerce de la société J.________Sàrl indiquant sa faillite au 12 mai 2011 et la clôture de la procédure de faillite le 2 août 2011, ainsi que la décision du 12 mai 2011 du président du tribunal d'arrondissement de Lausanne déclarant la faillite de dite société), dès lors qu'elles ne sont pas utiles à l'examen du litige (cf. infra, c. 4c). Les autres pièces produites à l'appui de l'appel figurent déjà au dossier.</w:t>
      </w:r>
    </w:p>
    <w:p>
      <w:r>
        <w:rPr>
          <w:b/>
        </w:rPr>
        <w:t>E. 4</w:t>
      </w:r>
    </w:p>
    <w:p>
      <w:r>
        <w:t>a) A la requête d’un des conjoints et si la suspension de la vie commune est fondée, le juge fixe la contribution pécuniaire à verser par l’une des parties à l’autre (art. 176 al. 1 ch. 1 CC). A la requête d’un époux, le juge ordonne les modifications commandées par les faits nouveaux et rapporte les mesures prises lorsque les causes qui les ont déterminées n’existent plus (art. 179 al. 1 CC). Chaque époux peut solliciter la modification des mesures protectrices de l’union conjugale si, depuis l’entrée en vigueur de celles-ci, les circonstances ont changé d’une manière essentielle et durable (Chaix, Commentaire romand, Bâle 2010, n. 4 ad art. 179 CC, p. 1252). Une telle modification déploie ses effets pour l’avenir et prend en principe effet au jour de l’entrée en force de la nouvelle décision; si les circonstances le justifient, le juge a le pouvoir d’accorder un effet rétroactif aux nouvelles mesures; cet effet ne peut en principe remonter à une date antérieure à celle du dépôt de la demande de modification et il n’est accordé qu’en présence de circonstances concrètes qui imposent une telle solution (Chaix, op. cit., n. 6 ad art. 179 CC , p. 1252 et les réf. citées; CACI 7 juin 2011/107; CACI 1 er juillet 2011/141). b) L'appelant soutient qu’il a dû acheter à crédit, en remplacement de son ancien véhicule, une voiture d’occasion à son beau-fils, faute d'avoir pu souscrire un leasing à cause de ses dettes et ne disposant pas des liquidités nécessaires au paiement comptant. A l'appui de sa seconde requête de mesures protectrices de l'union conjugale du 30 mai 2011, il a produit l'attestation de son employeur du 25 janvier 2011 selon laquelle il utilise son véhicule privé à des fins professionnelles. On ne saurait retenir en l'espèce que l’attestation de l’employeur du 25 janvier 2011 constitue une modification essentielle des circonstances. En effet, en dépit du fait que l'attestation a été établie avant l'audience d'appel de mesures protectrices de l'union conjugale du</w:t>
      </w:r>
    </w:p>
    <w:p>
      <w:r>
        <w:rPr>
          <w:b/>
        </w:rPr>
        <w:t>E. 9</w:t>
      </w:r>
    </w:p>
    <w:p>
      <w:r>
        <w:t>février 2011 et n'a pas été produite à cette occasion, le Tribunal d'arrondissement de Lausanne fait néanmoins état, dans son arrêt sur appel du 21 avril 2011, d’une contribution mensuelle de 100 fr. de l’employeur en faveur de l’appelant pour ses frais de véhicule (p. 23), ce qui établit déjà son utilisation partielle à des fins professionnelles. Le seul fait d’avoir une voiture ne fonde pas non plus un changement de situation. Constitue en revanche un fait nouveau l’existence de la dette souscrite par l'appelant envers son beau-fils, découlant du contrat de vente du 23 février 2011 d'un véhicule d'occasion au prix de 11'800 fr. et remboursable par mensualités de 600 fr. à partir du 1 er mars 2011. La doctrine considère que les dettes contractées après la séparation ne doivent en principe pas être prises en compte (Perrin, La méthode du minimum vital, SJ 1993, p. 437), excepté pour les leasings nécessaires de véhicules ou d'équipement de la maison (Bastons-Bulletti, L'entretien après divorce : méthodes de calcul, montant, durée et limites, SJ 2007 II 89). Dans le cas particulier, il convient de relever que l'appelant exerce la fonction de postier interne d'une grande entreprise et qu'il utilise son véhicule privé pour des déplacements professionnels. Même s'il ne peut se prévaloir d'aucune disposition contractuelle mentionnant l'obligation expresse de disposer d'un véhicule privé en relation avec son activité professionnelle, on doit tenir pour vraisemblable que l'appelant aurait pu perdre son emploi s'il avait annoncé à son employeur qu'il n'avait plus de véhicule. Aussi, le choix d'acquérir une nouvelle voiture constitue-t-il un moindre mal par rapport au risque de se retrouver sans revenu ou avec un revenu diminué en application des dispositions de l'assurance-chômage. On retiendra au demeurant que le prix d'achat du véhicule l'a été à un prix raisonnable et que l'on ne saurait reprocher à l'appelant d'avoir recouru à l'aide financière d'un membre de sa famille, qui plus est sans intérêts, dès lors qu'il ne pouvait obtenir ni leasing ni crédit bancaire en raison de ses dettes. Force est dès lors de constater que l'achat du véhicule était nécessaire et que son amortissement constitue une charge qui doit être prise en compte dans le calcul du minimum vital de l'appelant. c) L'appelant fait valoir également qu'au vu des relevés bancaires et postal de l'intimée, celle-ci dispose de liquidités déposées sur d'autres comptes qui lui permettent de vivre sans devoir puiser sur ses économies, si bien qu'il convient de retenir un revenu hypothétique au moins identique au sien. La présence d'un élément nouveau essentiel doit conduire à examiner l'incidence du dit élément sur les calculs des juges précédents, mais ne saurait replacer les parties dans la situation dans laquelle elles se trouvaient avant que ne statue pour la première fois le juge des mesures provisionnelles ou protectrices (à moins qu'il n'y ait des enfants ou que les calculs adaptés n'aient pour conséquence que le minimum vital d'une partie ne serait plus couvert, ce qui n'est pas le cas en l'espèce). En d'autres termes, l'admission de l'achat du véhicule d'occasion dans le calcul du minimum vital de l'appelant en tant que nouvel élément essentiel – et en l'absence de tout autre fait nouveau – ne saurait permettre aux parties de revenir sur les autres questions tranchées précédemment. Le grief est dès lors infondé, de même que la réquisition de pièces de l'appelant sous la forme de l'intégralité des comptes personnels de l'intimée et ceux détenus par sa société. d) Il convient par conséquent de limiter le réexamen à la prise en compte de la charge supplémentaire de véhicule. Si l'on considère qu'une partie des frais de transport de l'appelant de 300 fr., indemnité de 100 fr. de l'employeur y comprise, relève de l'amortissement du véhicule, il y a lieu d'admettre des frais de véhicule de 700 fr., indemnité de 100 fr. de l'employeur toujours comprise, ce qui conduit à une augmentation des charges de 400 fr. Le minimum vital de l'appelant s'élève ainsi à 3'527 fr. 10 (cf. supra, let. C, ch. 8), son salaire net mensualisé restant inchangé à 5'594 fr., de même que le revenu et les charges de l'intimée à 2'825 fr. et 1'502 fr. respectivement. Les revenus du couple s'élevant à 8'419 fr. et leurs charges globales à 5'030 fr., le solde disponible est donc de 3'389 fr.; partagé pour moitié, chacun a droit à 1'694 fr. 50. Le budget de l'intimée présentant un excédent de 1'323 fr. et celui de l'appelant un excédent de 2'066 fr. 90, la pension due par ce dernier en faveur de son épouse s'élève ainsi à 370 fr., dès et y compris le 1 er mai 2011, mois du dépôt de la demande de modification. 5. L'appelant conclut enfin à l'annulation de l'ordre donné à son employeur de prélever chaque mois sur son revenu la pension due à son épouse. Dès lors que cette conclusion se fonde sur la prémisse de suppression de toute contribution d'entretien, celle-ci doit être rejetée. Au surplus, n'ayant pas payé la pension due à son épouse depuis août 2010, l'appelant a démontré à satisfaction qu'il n'avait aucune intention de s'exécuter spontanément à cet égard. L'appel est mal fondé sur ce point. 6. En définitive, l'appel doit être partiellement admis et la décision attaquée réformée en ce sens que la requête de mesures protectrices de l'union conjugale déposée le 30 mai 2011 par A.V.________ est partiellement admise et que ce dernier contribuera à l'entretien de B.V.________ par le versement régulier d'une pension mensuelle de 370 fr., payable d'avance le premier de chaque mois, les conditions de l'avis aux débiteurs de l'art. 132 al. 1 CC étant toujours réalisées. 7. Au tarif horaire de 180 fr. (art. 2 al. 1 let. a RAJ [règlement du 7 décembre 2010 sur l'assistance judiciaire en matière civile; RSV 211.02.3]), l'indemnité d'honoraires due au conseil de l'appelant doit être arrêtée à 1'260 fr., plus TVA (taux 8 %) à hauteur de 100 fr., et celle des débours à 108 fr., TVA comprise, ce qui fait un total de 1'468 francs. Le bénéficiaire de l'assistance judiciaire est, dans la mesure de l'art. 123 CPC, tenu au remboursement des frais judiciaires et de l'indemnité de son conseil d'office mis à la charge de l'Etat. L'appelant obtenant gain de cause sur le principe mais pas sur le montant de ses conclusions (à savoir une diminution de la pension de 40 % au lieu de sa suppression), il se justifie de répartir les frais judiciaires de deuxième instance, arrêtés à 600 fr. (art. 63 al. 1 TFJC [tarif des frais judiciaires civils du 28 septembre 2010; RSV 270.11.5]), en équité (art. 107 CPC), soit 300 fr. laissés à la charge de l'Etat et 300 fr. mis à la charge de l'intimée. Les dépens de deuxième instance sont compensés pour le surplus. Par ces motifs, le juge délégué de la Cour d’appel civile du Tribunal cantonal, statuant à huis clos, prononce : I. L'appel est partiellement admis. II. Le prononcé de mesures protectrices du 1 er septembre 2011 est réformé comme il suit : I. admet partiellement la requête de mesures protectrices déposée le 30 mai 2011 par A.V.________; I bis. modifie, avec effet au 1 er mai 2011, le chiffre III du dispositif du prononcé de mesures protectrices de l'union conjugale du 24 novembre 2010 en ce sens qu'A.V.________ contribuera à l'entretien de B.V.________, par le versement régulier d'une contribution mensuelle de 370 fr. (trois cent septante francs), payable d'avance le premier de chaque mois; II bis. maintient pour le surplus le prononcé du 24 novembre 2010; III. ordonne à tout débiteur d'A.V.________, actuellement R.________, mais également à toute caisse de chômage et à tout employeur futur, de prélever chaque mois sur son revenu, respectivement ses indemnités, la première fois dès le versement du salaire de septembre 2011, le montant de 370 fr. (trois cent septante francs) à titre de pension courante pour l'entretien de B.V.________, et de verser ces sommes sur le compte postal de celle-ci n° [...], sur simple présentation de la présente ordonnance; Le prononcé est confirmé pour le surplus. III. L'indemnité d'office de Me Adrien Gutowski, conseil de l'appelant, est arrêtée à 1'468 fr. (mille quatre cent soixante-huit francs), TVA et débours compris. IV. Les frais judiciaires de deuxième instance, arrêtés à 600 fr. (six cents francs), sont laissés à la charge de l'Etat par 300 fr. (trois cents francs) et mis à la charge de l'intimée B.V.________, par 300 fr. (trois cents francs). V. Le bénéficiaire de l'assistance judiciaire est, dans la mesure de l'art. 123 CPC, tenu au remboursement des frais judiciaires et de l'indemnité au conseil d'office mis à la charge de l'Etat. VI. Les dépens de deuxième instance sont compensés pour le surplus. VII. L'arrêt motivé est exécutoire. Le juge délégué : La greffière : Du 27 octobre 2011 Le dispositif de l'arrêt qui précède est communiqué par écrit aux intéressés. La greffière : Du L'arrêt qui précède, dont la rédaction a été approuvée à huis clos, est notifié en expédition complète, par l'envoi de photocopies à : ‑ Me Adrien Gutowski (pour A.V.________) ‑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