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2011 / 577 vom 24. Oktober 2011</w:t>
      </w:r>
    </w:p>
    <w:p>
      <w:r>
        <w:t>VD Tribunal cantonal, 2011-10-24, FR</w:t>
      </w:r>
    </w:p>
    <w:p>
      <w:r>
        <w:rPr>
          <w:b/>
        </w:rPr>
        <w:t xml:space="preserve">Quelle: </w:t>
      </w:r>
      <w:r>
        <w:t>https://mcp.opencaselaw.ch/entscheid/vd_findinfo_HC___2011___577</w:t>
      </w:r>
    </w:p>
    <w:p>
      <w:r>
        <w:t>FR: VD_FINDINFO HC / 2011 / 577 du 24 octobre 2011</w:t>
      </w:r>
    </w:p>
    <w:p>
      <w:r>
        <w:t>IT: VD_FINDINFO HC / 2011 / 577 del 24 ottobre 2011</w:t>
      </w:r>
    </w:p>
    <w:p>
      <w:pPr>
        <w:pStyle w:val="Heading2"/>
      </w:pPr>
      <w:r>
        <w:t>Regeste</w:t>
      </w:r>
    </w:p>
    <w:p>
      <w:r>
        <w:t>RÉSILIATION IMMÉDIATE, CONTRAT DE TRAVAIL, JUSTE MOTIF, INDEMNITÉ DE VACANCES | 337 CO, 337c al. 1 CO, 337c al. 3 CO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rejeté, en application de l’art. 312 al. 1 CPC, et le jugement confirmé. La valeur litigieuse étant inférieure à 30'000 fr., il ne sera pas perçu de frais judiciaires de deuxième instance (art. 114 let. c CPC). L’intimé n’ayant pas été invité à se déterminer, il n’y a pas lieu de lui allouer des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