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561 vom 13. Oktober 2011</w:t>
      </w:r>
    </w:p>
    <w:p>
      <w:r>
        <w:t>VD Tribunal cantonal, 2011-10-13, FR</w:t>
      </w:r>
    </w:p>
    <w:p>
      <w:r>
        <w:rPr>
          <w:b/>
        </w:rPr>
        <w:t xml:space="preserve">Quelle: </w:t>
      </w:r>
      <w:r>
        <w:t>https://mcp.opencaselaw.ch/entscheid/vd_findinfo_HC___2011___561</w:t>
      </w:r>
    </w:p>
    <w:p>
      <w:r>
        <w:t>FR: VD_FINDINFO HC / 2011 / 561 du 13 octobre 2011</w:t>
      </w:r>
    </w:p>
    <w:p>
      <w:r>
        <w:t>IT: VD_FINDINFO HC / 2011 / 561 del 13 ottobre 2011</w:t>
      </w:r>
    </w:p>
    <w:p>
      <w:pPr>
        <w:pStyle w:val="Heading2"/>
      </w:pPr>
      <w:r>
        <w:t>Regeste</w:t>
      </w:r>
    </w:p>
    <w:p>
      <w:r>
        <w:t>DÉFENSE D'OFFICE, ASSISTANCE JUDICIAIRE, INDEMNITÉ ÉQUITABLE, INDEMNITÉ{EN GÉNÉRAL} | 122 al. 1 let. a CPC (CH), 319 let. a CPC (CH)</w:t>
      </w:r>
    </w:p>
    <w:p>
      <w:pPr>
        <w:pStyle w:val="Heading2"/>
      </w:pPr>
      <w:r>
        <w:t>Erwägungen</w:t>
      </w:r>
    </w:p>
    <w:p>
      <w:r>
        <w:rPr>
          <w:b/>
        </w:rPr>
        <w:t>E. 1</w:t>
      </w:r>
    </w:p>
    <w:p>
      <w:r>
        <w:t>a) L’ordonnance attaquée a été rendue le 30 août 2011, de sorte que les voies de droit sont régies par le CPC (Code de procédure civile suisse du 19 décembre 2008, RS 272), entré en vigueur le 1 er janvier 2011 (art. 405 al. 1 CPC). b) La décision de la première juge s’assimile à une décision finale qui, en raison de la valeur litigieuse inférieure à 10’000 fr., ne peut faire l’objet d’un appel (art. 308 al. 1 et 2 CPC). Le recours est dès lors ouvert en vertu de l’art. 319 let. a CPC. La rémunération du conseil juridique commis d’office est réglée par l’art. 122 CPC, figurant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Dès lors, le recours s’exerce dans les dix jours (art. 321 al.</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LTF).</w:t>
      </w:r>
    </w:p>
    <w:p>
      <w:r>
        <w:rPr>
          <w:b/>
        </w:rPr>
        <w:t>E. 3</w:t>
      </w:r>
    </w:p>
    <w:p>
      <w:r>
        <w:t>a) La recourante fait valoir, décompte de ses opérations à l’appui de son recours, qu’elle a consacré environ sept heures à cette cause. Elle reproche à la présidente de ne pas avoir suivi la pratique habituelle du tribunal consistant à impartir un bref délai à l’avocat d’office pour déposer son décompte d’opérations à l’issue de l’audience. Elle considère qu’en pratiquant de la sorte, la présidente l’a privée de la possibilité de déposer une liste des opérations et, surtout, qu’elle n’a pas suffisamment tenu compte du travail accompli, en particulier postérieurement à l’audience du 9 août 2011. b) aa) Le conseil d’office remplit une tâche étatique, que l’Etat impose aux avocats en contrepartie du monopole de représentation qu’il leur garantit (art. 12 let. g LLCA [Loi fédérale du 23 juin 2000 sur la libre circulation des avocats, RS 935.61] ; Favre, L’assistance judiciaire gratuite en Suisse, thèse Lausanne 1989, pp. 136-137 ; BGC du 16 novembre 1981, pp. 176 ss). Lors de sa désignation, il s’établit, entre l’avocat et l’Etat, un rapport juridique spécial en vertu duquel l’avocat a contre l’Etat une prétention de droit public à être rétribué dans le cadre des prescriptions cantonales applicables ; il ne s’agit dès lors pas d’examiner à quelle rémunération l’avocat pourrait prétendre dans le cadre d’une activité librement consentie et pleinement rétribuée, mais de savoir ce que l’avocat peut exiger de l’Etat au titre de l’assistance judiciaire (ATF 111 la 150 c. 5c ; ATF 117 la 22 c. 4a). Le Tribunal fédéral a considéré qu’une indemnisation insuffisante de l’avocat d’office peut, indirectement, entraver l’assistance judiciaire qui est garantie au citoyen par l’art. 9 Cst. (Constitution fédérale du 18 avril 1999, RS 101). Cette disposition impose dès lors aux cantons d’assurer à l’avocat d’office une rémunération raisonnable (ATF non publié C. du 9 novembre 1988, cité par Favre, op. cit., p. 139). bb) Pour déterminer la rémunération de l’avocat d’office, il convient, dans un premier temps, de vérifier la conformité de la décision entreprise avec les dispositions applicables prévues par la législation, puis, en second lieu, de s’assurer que l’indemnité allouée n’est pas arbitraire. A teneur de l’art. 122 al. 1 let. a CPC, le conseil juridique commis d’office a droit à une rémunération équitable. L’indemnité revenant au conseil d’office est fixée en fonction d’une appréciation globale du cas, tenant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 condition d’être équitable, la rémunération de l’avocat d’office peut être inférieure à celle du mandataire choisi (JT 2002 III 204 c. 2.1 ; ATF 122 Il c. 3a ; ATF 117 la 22 c. 3a ; ATF 109 la 107 c. 3b et c). L’indemnité horaire de l’avocat d’office breveté est usuellement fixée à 180 fr., TVA en sus, et celle de l’avocat stagiaire à 110 fr., en règle générale sans TVA (cf. ATF 137 III 185 ; TF 2P.325/2003 du 6 juin 2006 ; cf. art. 2 al. 1 RAJ [Règlement sur l’assistance judiciaire en matière civile du 7 décembre 2010, RSV 211.02.3]). Pour fixer la quotité de l’indemnité, l’autorité cantonale doit s’inspirer des critères applicables à la modération des honoraires d’avocat (arrêt du TF non publié B. du 24 avril 1997 ; ATF 122 I 1 c. 3a ; arrêt du TF non publié C. du 9 novembre 1988 précité).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la 107 précité c. 3b ; ATF 117 la 22 précité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précité c. 3a ; ATF 117 la 22 précité c.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5P.462/2002 du 30 janvier 2003 ; Pdt TC 23 juillet 2001/37). En l’absence d’une liste des opérations, l’indemnité d’office est fixée équitablement sur la base d’une estimation des opérations nécessaires pour la conduite du procès (art. 3 al. 2 RAJ). L’indemnité due au défenseur d’office ne comprend pas seulement un montant représentant ses honoraires, mais également le remboursement de ses débours dans la mesure où ceux-ci ne dépassent pas ce qui est nécessaire à l’exécution de sa mission (JT 2002 III 204 ; ATF 122 I 1 ; ATF 117 la 22 précité c. 4b). c) En l’espèce, il ressort du dossier que l’avocate A.________ a été consultée par B. S.________ le 4 août 2011 et qu’elle a déposé le même jour une demande d’assistance judiciaire. Le 8 août 2011, elle a reçu et étudié 53 pièces déposées par les parties avant son intervention dans la procédure de mesures protectrices de l’union conjugale. Sur cette base, elle a rédigé des conclusions écrites au nom de sa cliente, conclusions déposées le lendemain lors d’une audience à laquelle elle a assisté cette dernière et qui a duré environ une heure et trente minutes. Le 18 août 2011, après réception d’une ordonnance de mesures superprovisionnelles rendue la veille, la recourante a déposé pour sa mandante une requête de nouvelles mesures superprovisionnelles de deux pages. Au vu des opérations décrites et de la nature de la cause, il apparaît que l’indemnité allouée par la présidente ne prend pas en considération de façon suffisante et adéquate le temps consacré par la recourante à son mandat d’office. Il appartient ainsi à la cour de céans de substituer son appréciation à celle de la présidente et, en l’absence d’une liste des opérations, de fixer l’indemnité d’office de la recourante équitablement sur la base des éléments mentionnés par celle-ci, qui paraissent corrects au vu de la mission de l’avocat d’office dans cette affaire. Vu ce qui précède, l’indemnité d’office de la recourante doit être arrêtée à 1'220 fr. 40, à savoir des honoraires à hauteur de 1'080 fr. correspondant à six heures de travail au tarif horaire de 180 fr. et à des débours de 50 fr., plus TVA. Bien fondé, le moyen de la recourante doit ainsi être admis.</w:t>
      </w:r>
    </w:p>
    <w:p>
      <w:r>
        <w:rPr>
          <w:b/>
        </w:rPr>
        <w:t>E. 4</w:t>
      </w:r>
    </w:p>
    <w:p>
      <w:r>
        <w:t>En conclusion, le recours doit être admis et l’ordonnance attaquée réformée en ce sens que l’indemnité d’office de la recourante est portée à 1'220 fr. 40, TVA et débours compris. L’arrêt est rendu sans frais, ni dépens. Par ces motifs, la Chambre des recours civile du Tribunal cantonal, statuant à huis clos, prononce : I. Le recours est admis. II. L’ordonnance est réformée, au chiffre VII de son dispositif, comme il suit : « VII. Arrête l’indemnité d’office de l’avocate A.________, conseil d’B. S.________, à 1'220 fr. 40 (mille deux cent vingt francs et quarante centimes), TVA et débours compris (dossier AJ11.029066). » L’ordonnance est maintenue pour le surplus. III. Le présent arrêt est rendu sans frais, ni dépens. IV. L’arrêt est exécutoire. Le président : Le greffier : Du 19 octobre 2011 Le dispositif de l'arrêt qui précède est communiqué par écrit aux intéressés. Le greffier : Du L'arrêt qui précède, dont la rédaction a été approuvée à huis clos, est notifié en expédition complète, par l'envoi de photocopies, à : ‑ Me A.________ La Chambre des recours civile considère que la valeur litigieuse est inférieure à 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