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552 vom 6. Oktober 2011</w:t>
      </w:r>
    </w:p>
    <w:p>
      <w:r>
        <w:t>VD Tribunal cantonal, 2011-10-06, FR</w:t>
      </w:r>
    </w:p>
    <w:p>
      <w:r>
        <w:rPr>
          <w:b/>
        </w:rPr>
        <w:t xml:space="preserve">Quelle: </w:t>
      </w:r>
      <w:r>
        <w:t>https://mcp.opencaselaw.ch/entscheid/vd_findinfo_HC___2011___552</w:t>
      </w:r>
    </w:p>
    <w:p>
      <w:r>
        <w:t>FR: VD_FINDINFO HC / 2011 / 552 du 6 octobre 2011</w:t>
      </w:r>
    </w:p>
    <w:p>
      <w:r>
        <w:t>IT: VD_FINDINFO HC / 2011 / 552 del 6 ottobre 2011</w:t>
      </w:r>
    </w:p>
    <w:p>
      <w:pPr>
        <w:pStyle w:val="Heading2"/>
      </w:pPr>
      <w:r>
        <w:t>Regeste</w:t>
      </w:r>
    </w:p>
    <w:p>
      <w:r>
        <w:t>DROIT D'ÊTRE ENTENDU, MOTIVATION DE LA DÉCISION, FRAIS D'EXPERTISE | 29 al. 2 Cst.</w:t>
      </w:r>
    </w:p>
    <w:p>
      <w:pPr>
        <w:pStyle w:val="Heading2"/>
      </w:pPr>
      <w:r>
        <w:t>Erwägungen</w:t>
      </w:r>
    </w:p>
    <w:p>
      <w:r>
        <w:rPr>
          <w:b/>
        </w:rPr>
        <w:t>E. 1</w:t>
      </w:r>
    </w:p>
    <w:p>
      <w:r>
        <w:t>La décision attaquée ayant été communiquée après l’entrée en vigueur du Code de procédure civile du 19 décembre 2010 (CPC; RS 272), le recours est régi par celui-ci (art. 405 al. 1 CPC). Les décisions fixant la rémunération d’un expert peuvent faire l’objet d’un recours (art. 184 al. 3 CPC). Le recours de l’art. 319 let. b ch. 1 CPC est donc ouvert. En revanche, dès lors que la procédure au fond était en cours au 1 er janvier 2011, les règles applicables à la fixation des frais d’expertise sont celles de l’ancien droit de procédure (art. 404 al. 1 CPC), en particulier l’art. 242 CPC-VD (Code de procédure civile vaudoise du 14 décembre 1966) et le Tarif des frais judiciaires en matière civile du</w:t>
      </w:r>
    </w:p>
    <w:p>
      <w:r>
        <w:rPr>
          <w:b/>
        </w:rPr>
        <w:t>E. 4</w:t>
      </w:r>
    </w:p>
    <w:p>
      <w:r>
        <w:t>Les frais judiciaires de deuxième instance, par 200 fr., sont laissés à la charge de l’Etat (art. 107 al. 2 CPC). L.________, qui n’a pas été invitée à se déterminer dans le cadre de la présente procédure et qui ne s’était pas opposée à la décision attaquée en première instance, ne saurait se voir condamnée à des dépens (art. 106 al. 1 CPC a contrario). Par ces motifs, la Chambre des recours civile du Tribunal cantonal, statuant à huis clos, prononce : I. Le recours est admis. II. Le prononcé rendu le 18 juillet 2011 par le Président du Tribunal civil de l'arrondissement de Lausanne est annulé et la cause renvoyée à cette instance pour nouvelle décision dans le sens des considérants. III. Les frais judiciaires de deuxième instance, arrêtés à 200 fr. (deux cents francs), sont laissés à la charge de l'Etat. IV. Il n'est pas alloué de dépens. 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Christine Raptis (pour N.________) ‑ Me Alain Dubuis (pour L.________) ‑ X.________ La Chambre des recours civile considère que la valeur litigieuse est de 13'000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