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535 vom 31. August 2011</w:t>
      </w:r>
    </w:p>
    <w:p>
      <w:r>
        <w:t>VD Tribunal cantonal, 2011-08-31, FR</w:t>
      </w:r>
    </w:p>
    <w:p>
      <w:r>
        <w:rPr>
          <w:b/>
        </w:rPr>
        <w:t xml:space="preserve">Quelle: </w:t>
      </w:r>
      <w:r>
        <w:t>https://mcp.opencaselaw.ch/entscheid/vd_findinfo_HC___2011___535</w:t>
      </w:r>
    </w:p>
    <w:p>
      <w:r>
        <w:t>FR: VD_FINDINFO HC / 2011 / 535 du 31 août 2011</w:t>
      </w:r>
    </w:p>
    <w:p>
      <w:r>
        <w:t>IT: VD_FINDINFO HC / 2011 / 535 del 31 agosto 2011</w:t>
      </w:r>
    </w:p>
    <w:p>
      <w:pPr>
        <w:pStyle w:val="Heading2"/>
      </w:pPr>
      <w:r>
        <w:t>Regeste</w:t>
      </w:r>
    </w:p>
    <w:p>
      <w:r>
        <w:t>JUGEMENT DE DIVORCE, MODIFICATION DES CIRCONSTANCES, OBLIGATION D'ENTRETIEN, ENFANT | 134 al. 2 CC, 286 al. 2 CC, 308 al. 1 let. a CPC (CH), 310 CPC (CH), 317 al. 1 CPC (CH)</w:t>
      </w:r>
    </w:p>
    <w:p>
      <w:pPr>
        <w:pStyle w:val="Heading2"/>
      </w:pPr>
      <w:r>
        <w:t>Erwägungen</w:t>
      </w:r>
    </w:p>
    <w:p>
      <w:r>
        <w:rPr>
          <w:b/>
        </w:rPr>
        <w:t>E. 1</w:t>
      </w:r>
    </w:p>
    <w:p>
      <w:r>
        <w:t>L’appel est recevable contre les décisions finales de première instance (art. 308 al.1 let. a CPC [Code de procédure civile du 19 décembre 2008; RS 272]),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126). S'agissant de prestations périodiques, elles doivent être capitalisées suivant la règle posée par l'art. 92 al. 2 CPC. L’appel, écrit et motivé, est introduit dans les 30 jours à compter de la notification de la décision motivée (art. 311 CPC). Formé en temps utile par une partie qui y a intérêt et portant sur des conclusions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en mesures provisionnelles dans une procédure matrimoniale (art. 277 al. 3 CPC) ainsi qu'en présence d'enfants mineurs dans les affaires du droit de la famille (art. 296 al. 1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139; Hohl, Procédure civile, Tome II, 2ème éd., n. 2410 p. 437; JT 2011 III 43). Les parties peuvent toutefois faire valoir que le juge de première instance a violé la maxime inquisitoire en ne prenant pas en considération certains faits (Hohl, op. 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JT 2011 III 43). En l'espèce, le couple a encore un enfant mineur à charge si bien que la maxime d'office et la maxime inquisitoire illimitée sont applicables (art. 296 al. 1 et 3 CPC; Hohl, op. cit., nn. 2099 et 2161, pp. 383 et 395). L'appelante a requis la production d’une pièce (pièce 51), soit toute pièce, telle que certificats d’études, établissant que les enfants issus d’un premier lit de l’intimé ont suivi des études de type universitaire au-delà de leur majorité. De telles pièces ne sont toutefois pas pertinentes pour la résolution du litige de sorte qu'il y a lieu de rejeter dite réquisition. Par ailleurs, l'appelante a produit le 30 mai 2011 une pièce nouvelle, à savoir une lettre du 12 mai 2011 de la Direction des ressources humaines du CHUV annonçant son licenciement pour le 31 août 2011. Au vu des conditions de l’art. 317 al. 1 CPC rappelées plus haut, cette pièce est recevable.</w:t>
      </w:r>
    </w:p>
    <w:p>
      <w:r>
        <w:rPr>
          <w:b/>
        </w:rPr>
        <w:t>E. 3</w:t>
      </w:r>
    </w:p>
    <w:p>
      <w:r>
        <w:t>L'appelante invoque l'art. 310 al. 1 let. b CPC (constatation inexacte des faits) et requiert en premier lieu que l'état de fait soit complété sur la base du dossier. Elle soutient que des éléments importants de la pièce requise 351 selon réquisition de production de pièce de l’intimé du 29 janvier 2010 ont été ignorés par le premier juge. Cette réquisition portait sur la production de l’entier du dossier        n° [...], soit le dossier de la cause en modification de jugement de divorce opposant B.Z.________ à son ex-épouse selon demande du 12 janvier 2009. Elle a formellement été faite par l’intimé à l’appui du procédé écrit qu’il a déposé le 29 janvier 2010 pour l’instruction d’une requête de mesures provisionnelles déposée le 30 novembre 2009 par A.Z.________ dans le cadre de l'action ouverte le 30 novembre 2009 par cette dernière contre son ex-mari. Cette réquisition avait aussi été formulée par l’appelante dans un courrier au juge des mesures provisionnelles le 28 janvier 2010. Elle n’a pas été suivie d’effet. Le juge des mesures provisionnelles n’a jamais donné suite à cette réquisition et les parties ne l’ont pas réitérée à l’audience de mesures provisionnelles du 2 février 2010. Elles n’ont pas non plus fait appel contre l’ordonnance rendue le 30 mars 2010. Il résulte par ailleurs de l’ordonnance sur preuves rendue le 31 août 2010 que cette réquisition n’a pas été reprise dans la procédure au fond. Cette pièce requise n° 351 n’a donc jamais fait partie du dossier. On ne voit dès lors pas que des éléments résultant par hypothèse de cette pièce aient pu être ignorés par les premiers juges dans le jugement attaqué. Les éléments de fait prétendument importants résultant de ce dossier pouvaient être invoqués ou produits devant la première instance. En renonçant à le faire dans la procédure au fond, soit à renouveler la réquisition faite le 28 janvier 2010, l’appelante s’est par conséquent privée de la possibilité de le faire devant la seconde instance (art. 317 al. 1 let. b CPC). Quoi qu’il en soit, les premiers juges mentionnent la situation matérielle de l’intimé et défendeur au fond au moment du jugement de divorce du 22 août 2002 (jugement, c. 1, p. 2), ainsi que sa situation telle qu’elle a évolué depuis lors et jusqu’au moment du jugement attaqué (jugement, c. 7 let. a à f, p. 4 et 5). Les faits retenus sont conformes aux pièces du dossier de première instance, sous réserve des deux points suivants : d’une part, le jugement attaqué retient (c. 7 let. e) que la fortune mobilière du défendeur s’élevait à 2'800'000 fr. environ au 31 décembre 2009, alors qu’il résulte de la pièce 101 que le total des titres et autres capitaux est de 3'003'081 fr. à cette même date; d’autre part, il résulte de la pièce 104 que le défendeur recevra d’ici au 31 décembre 2011 une soulte de 425'000 fr. en suite de l’échange de parcelles dont il est propriétaire avec des parts de PPE. Ces éléments ne sont toutefois pas déterminants compte tenu du sort du présent appel, tel qu’examiné plus loin. Ce premier moyen doit donc être rejeté.</w:t>
      </w:r>
    </w:p>
    <w:p>
      <w:r>
        <w:rPr>
          <w:b/>
        </w:rPr>
        <w:t>E. 4</w:t>
      </w:r>
    </w:p>
    <w:p>
      <w:r>
        <w:t>L'appelante invoque une violation de l'art 286 CC. a) Elle reproche aux premiers juges d’avoir retenu qu’il était prévisible, au moment du divorce, que les enfants entreprennent des études les menant au-delà de leur majorité et d’avoir considéré que la convention de divorce contenait, à ce sujet, un «silence qualifié» voulu par les parties. L’appelante estime qu’un tel raisonnement est doublement erroné : elle soutient d’une part qu’il y avait, au moment du divorce et compte tenu de l’âge des enfants à cette époque (soit 6 et 10 ans), une absence de prévisibilité s’agissant de leurs éventuelles études au-delà de la majorité; d’autre part, elle considère que les premiers juges ont retenu à tort le critère de la prévisibilité, alors que l’application de l’art. 286 CC ne dépend pas selon elle du point de savoir si des changements étaient prévisibles ou non au moment du jugement, mais si ceux-ci ont ou non été pris en compte dans la décision initiale. b) Selon l'art. 286 al. 2 CC,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4ème éd., 2010, nn.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II 177 précité c. 3a; ATF 100 II 76 c. 1; Hegnauer, op. cit., n. 67 ad art. 286 CC). Pour déterminer si de tels faits se sont produits et justifient une modification du jugement de divorce, c’est la situation envisagée dans ce jugement qui est décisive (ATF 117 II 368). Ce qui est déterminant, ce n’est pas la prévisibilité des modifications, mais exclusivement le fait que la rente ait été fixée en prenant en considération les changements prévisibles (ATF 131 III 187 c. 2.7.4 et les réf. citées), ce qui est présumé être le cas (TF 5A_403/2007 du 25 octobre 2007). Si, comme le relève l’appelante, le rôle du juge est de protéger les intérêts de l’enfant (ATF 128 III 411; ATF 129 III 250), il se justifie toutefois dans la procédure d’assurer à l’ayant droit une protection plus limitée et de prendre davantage en considération les intérêts des parents après la majorité des enfants (ATF 118 II 93, JT 1995 I 100). Ainsi,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travail ou par d’autres moyens (ATF 111 II 410, JT 1989 I 159). c) En l’espèce, les premiers juges ont retenu qu’au moment du divorce, les enfants des parties étaient âgés de 10 et</w:t>
      </w:r>
    </w:p>
    <w:p>
      <w:r>
        <w:rPr>
          <w:b/>
        </w:rPr>
        <w:t>E. 6</w:t>
      </w:r>
    </w:p>
    <w:p>
      <w:r>
        <w:t>En définitive, l'appel, infondé, doit être rejeté et le jugement confirmé. Les frais judiciaires de deuxième instance sont arrêtés à 1'200 fr. (art. 63 al. 2 TFJC [tarif des frais judiciaires en matière civile du 28 septembre 2010, RSV 270.11.5]). L'appelante, qui succombe, doit supporter les frais judiciaires (art. 95 et 106 al. 1 CPC). L'appelante versera à l'intimé, victorieux, la somme de 1'800 fr. à titre de dépens de deuxième instance (art. 95 al. 1 let. b et al. 3, 106 al. 1 CPC, 37 al. 2 CDPJ [Code de droit privé judiciaire vaudois du 12 janvier 2010, RSV 211.01] et 4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