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532 vom 9. September 2011</w:t>
      </w:r>
    </w:p>
    <w:p>
      <w:r>
        <w:t>VD Tribunal cantonal, 2011-09-09, FR</w:t>
      </w:r>
    </w:p>
    <w:p>
      <w:r>
        <w:rPr>
          <w:b/>
        </w:rPr>
        <w:t xml:space="preserve">Quelle: </w:t>
      </w:r>
      <w:r>
        <w:t>https://mcp.opencaselaw.ch/entscheid/vd_findinfo_HC___2011___532</w:t>
      </w:r>
    </w:p>
    <w:p>
      <w:r>
        <w:t>FR: VD_FINDINFO HC / 2011 / 532 du 9 septembre 2011</w:t>
      </w:r>
    </w:p>
    <w:p>
      <w:r>
        <w:t>IT: VD_FINDINFO HC / 2011 / 532 del 9 settembre 2011</w:t>
      </w:r>
    </w:p>
    <w:p>
      <w:pPr>
        <w:pStyle w:val="Heading2"/>
      </w:pPr>
      <w:r>
        <w:t>Regeste</w:t>
      </w:r>
    </w:p>
    <w:p>
      <w:r>
        <w:t>EXPERTISE, VICE DE CONSTRUCTION, PREUVE À FUTUR | 250 al. 1 CPC</w:t>
      </w:r>
    </w:p>
    <w:p>
      <w:pPr>
        <w:pStyle w:val="Heading2"/>
      </w:pPr>
      <w:r>
        <w:t>Erwägungen</w:t>
      </w:r>
    </w:p>
    <w:p>
      <w:r>
        <w:rPr>
          <w:b/>
        </w:rPr>
        <w:t>E. 1</w:t>
      </w:r>
    </w:p>
    <w:p>
      <w:r>
        <w:t>Le jugement attaqué ayant été communiqué après l’entrée en vigueur du CPC (Code de procédure civile du 19 décembre 2008; RS 272), le recours est régi par celui-ci (art. 405 al. 1 CPC). La requête d’expertise hors procès dont il est question ayant été déposée avant l’entrée en vigueur du CPC, c’est l’application de l’ancien droit qui doit être vérifiée (art. 404 al. 1 CPC), soit les règles du CPC-VD.</w:t>
      </w:r>
    </w:p>
    <w:p>
      <w:r>
        <w:rPr>
          <w:b/>
        </w:rPr>
        <w:t>E. 2</w:t>
      </w:r>
    </w:p>
    <w:p>
      <w:r>
        <w:t>La décision attaquée est une décision finale, dans le cadre d’un litige de nature patrimoniale : la requête en expertise hors procès poursuit en effet principalement un but économique (Corboz et alii, Commentaire de la LTF, Berne 2009, n. 13 ad art. 74, p. 568). Dès lors que les frais d’expertise ne devraient pas atteindre 10'000 fr., c'est la voie du recours qui est ouverte contre la décision attaquée (art. 308 al. 2 et 319 let. a CPC). Déposé en temps utile par des parties qui y ont un intérêt et respectant les autres exigences formelles (art. 321 al. 1 CPC), le recours est ainsi recevable.</w:t>
      </w:r>
    </w:p>
    <w:p>
      <w:r>
        <w:rPr>
          <w:b/>
        </w:rPr>
        <w:t>E. 3</w:t>
      </w:r>
    </w:p>
    <w:p>
      <w:r>
        <w:t>e éd., Lausanne 2002, n. 1 ad art. 248 CPC-VD, p. 388). On peut ainsi admettre que l'expertise prévue par l'art. 367 al. 2 CO est régie par les art. 248 ss CPC-VD. En admettant l'application des art. 248 ss CPC-VD, le juge de paix est matériellement compétent pour une expertise hors procès. Le Tribunal fédéral a jugé que le juge compétent ratione loci pour statuer sur l'art. 367 al. 2 CO était celui du lieu de livraison de l'ouvrage (ATF 96 Il 266, JT 1972 I 59). La doctrine partage cette approche et ne considère pas que s'appliquerait l'art. 11 LFors, même si elle admet que la procédure relève de la juridiction gracieuse (Tercier, op. cit., n. 4508 et 4509, p. 679; Chaix, op. cit., n. 17 ad art. 367 CO, p. 1903; Zindel/Pulver, op. cit., n. 22 ad art. 367 CO, p. 2229). Il faut ainsi retenir que le juge compétent à raison du lieu est celui de la livraison de l'ouvrage, solution qui rejoint celle de l'art. 250 al. 1 CPC-VD. Selon cette dernière disposition, hors procès, le juge compétent est (…) le juge de paix du lieu de la situation de l’objet à expertiser ou à inspecter (al. 1). Le juge vaudois est compétent, même en cas de prorogation de for contractuelle, si l’objet à expertiser se trouve dans le canton et si aucune action n’est introduite devant les tribunaux vaudois au moment où le juge statue sur la requête d’expertise hors procès (JT 1939 III 112, spéc. 116 ss). Dans cette jurisprudence, en tous points comparable au présent cas, l’autorité de recours considère qu’il faut rechercher si la clause litigieuse, qui vise « les litiges » (en l'espèce, « les contestations », cf. art. 20 du contrat du 12 mars 2004) pouvant s’élever entre parties, s’applique également aux procédés tels que ceux prévus à l’ancien art. 237 CPC-VD (dans le cas présent, l’art. 250 al. 1 CPC-VD). Or, d’emblée, une distinction doit être faite entre l’expertise hors procès de l’art. 250 CPC-VD et la « contestation » au sens où ce terme est employé dans le contrat du 12 mars 2004. En effet, la procédure des art. 248 ss CPC-VD, en particulier de l’art 250 CPC-VD, n’aboutit pas à un jugement sur une difficulté surgie entre les parties, mais seulement au dépôt d’un rapport dans lequel l’expert nommé par un juge a consigné le résultat de ses constatations, ce qui rend l'expertise hors procès tout à fait indépendante du procès au fond et le juge au fond libre, s’il est par hypothèse saisi, d’apprécier comme il l’entend la portée de cette expertise. Au vu de ce qui précède, et comme le relève la jurisprudence précitée, il n’existe par conséquent aucun motif d’étendre à une telle opération les effets de la clause de prorogation de for relative aux « contestations » pouvant s’élever entre les parties en relation avec l’exécution du contrat. Les moyens soulevés par les recourants sont donc fondés. Par surabondance, on ajoutera que la clause de prorogation de for ne s’appliquerait quoi qu’il en soit pas aux intimés H.________ et I.________SA, lesquels ne peuvent se prévaloir d’une clause faisant partie intégrante d’un contrat qu’ils n’ont pas signé.</w:t>
      </w:r>
    </w:p>
    <w:p>
      <w:r>
        <w:rPr>
          <w:b/>
        </w:rPr>
        <w:t>E. 4</w:t>
      </w:r>
    </w:p>
    <w:p>
      <w:r>
        <w:t>En définitive, le recours doit être admis, le jugement incident attaqué annulé et la cause renvoyée au premier juge (art. 327 al. 3 let. a CPC) pour nouvelle décision dans le sens des considérants.</w:t>
      </w:r>
    </w:p>
    <w:p>
      <w:r>
        <w:rPr>
          <w:b/>
        </w:rPr>
        <w:t>E. 5</w:t>
      </w:r>
    </w:p>
    <w:p>
      <w:r>
        <w:t>Les frais judiciaires de deuxième instance, arrêtés à 400 fr., sont mis à la charge des intimés solidairement entre eux (art. 95 al. 1 let. a et 106 al. 1 CPC; art. 69 al. 1 TFJC [tarif des frais judiciaires civils du 28 septembre 2010; RSV 270.11.5]). Les intimés, solidairement entre eux, doivent verser aux recourants la somme de 1'300 fr. à titre de dépens et de restitution d'avance de frais de deuxième instance (art. 8 al. 1 TDC [tarif du 23 novembre 2010 des dépens en matière civile; RSV 270.11.6]). Par ces motifs, la Chambre des recours civile du Tribunal cantonal, statuant à huis clos, prononce : I. Le recours est admis. II. Le jugement est annulé et la cause est renvoyée au Juge de paix du district de Nyon pour nouvelle décision dans le sens des considérants. III. Les frais judiciaires de deuxième instance, arrêtés à 400 fr. (quatre cents francs), sont mis à la charge des intimés, solidairement entre eux. IV. Les intimés G.________, H.________ et I.________SA, solidairement entre eux, doivent verser aux recourants A.A.________ et B.A.________, B.________, C.________ et D.________, créanciers solidaires, la somme de 1'300 fr. (mille trois cents francs) à titre de dépens et de restitution d'avance de frais de deuxième instance. V. L'arrêt motivé est exécutoire. Le président :               La greffière : Du 12 septembre 2011 Le dispositif de l'arrêt qui précède est communiqué par écrit aux intéressés. La greffière : Du L'arrêt qui précède, dont la rédaction a été approuvée à huis clos, est notifié en expédition complète, par l'envoi de photocopies, à : ‑ Me Albert J. Graf (pour A.A.________ et crts) ‑ Me Alexandre Senarclens (pour I.________SA) ‑ G.________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