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53 vom 30. November 2010</w:t>
      </w:r>
    </w:p>
    <w:p>
      <w:r>
        <w:t>VD Tribunal cantonal, 2010-11-30, FR</w:t>
      </w:r>
    </w:p>
    <w:p>
      <w:r>
        <w:rPr>
          <w:b/>
        </w:rPr>
        <w:t xml:space="preserve">Quelle: </w:t>
      </w:r>
      <w:r>
        <w:t>https://mcp.opencaselaw.ch/entscheid/vd_findinfo_HC___2011___53</w:t>
      </w:r>
    </w:p>
    <w:p>
      <w:r>
        <w:t>FR: VD_FINDINFO HC / 2011 / 53 du 30 novembre 2010</w:t>
      </w:r>
    </w:p>
    <w:p>
      <w:r>
        <w:t>IT: VD_FINDINFO HC / 2011 / 53 del 30 novembre 2010</w:t>
      </w:r>
    </w:p>
    <w:p>
      <w:pPr>
        <w:pStyle w:val="Heading2"/>
      </w:pPr>
      <w:r>
        <w:t>Regeste</w:t>
      </w:r>
    </w:p>
    <w:p>
      <w:r>
        <w:t>DÉPENS, APPROPRIATION ILLÉGITIME | 137 ch. 2 CP, 137 CP, 158 CPP, 163 CPP, 411 let. i CPP, 415 CPP</w:t>
      </w:r>
    </w:p>
    <w:p>
      <w:pPr>
        <w:pStyle w:val="Heading2"/>
      </w:pPr>
      <w:r>
        <w:t>Erwägungen</w:t>
      </w:r>
    </w:p>
    <w:p>
      <w:r>
        <w:rPr>
          <w:b/>
        </w:rPr>
        <w:t>E. 1</w:t>
      </w:r>
    </w:p>
    <w:p>
      <w:r>
        <w:t>Le présent recours est interjeté par J.________, plaignante et partie civile. Il est dirigé contre un jugement d'acquittement. Dans la mesure où l’infraction d'appropriation illégitime au préjudice des proches ou des familiers (art. 137 ch. 2 CP) se poursuit uniquement sur plainte, son recours, qu’il tende à la nullité ou à la réforme du jugement entrepris, est recevable au regard des art. 413 et 417 al. 1 CPP.</w:t>
      </w:r>
    </w:p>
    <w:p>
      <w:r>
        <w:rPr>
          <w:b/>
        </w:rPr>
        <w:t>E. 1.1</w:t>
      </w:r>
    </w:p>
    <w:p>
      <w:r>
        <w:t>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I., 13 octobre 1994, ad CCASS, 30 mai 1994).</w:t>
      </w:r>
    </w:p>
    <w:p>
      <w:r>
        <w:rPr>
          <w:b/>
        </w:rPr>
        <w:t>E. 1.2</w:t>
      </w:r>
    </w:p>
    <w:p>
      <w:r>
        <w:t>En l'espèce, le Tribunal de police a exposé de manière circonstanciée et détaillée sa conviction sur l'ensemble des faits discutés par la recourante. Se fondant sur les moyens de preuve à sa disposition, il a retenu notamment que la version de X.________ n'était infirmée par aucune pièce des dossiers civil ou pénal et que le prénommé avait déjà évoqué, en instruction, une copie de l’attestation de salaire, même s’il n’avait pas fait mention d’une forme électronique. Au surplus, l'autorité de première instance a souligné que la lecture de la plainte de J.________ permettait de relever que celle-ci ne s’était aperçue des faits que lorsque le conseil de l’accusé avait communiqué au tribunal civil le 31 juillet 2009 une copie de la pièce (jgt., pp. 6-7). L'examen du dossier confirme ce constat. En cours d’instruction, la plaignante a simplement dit que l’accusé avait produit une attestation de salaire dans le cadre de la procédure civile et qu’il avait profité de son droit de visite pour " dérober ce papier " (dossier, procès‑verbal d'audition n. 2). Elle n'a nullement évoqué la découverte de la disparition de l’original. En outre, la plainte revêt une forme similaire puisque J.________ y relève que c’est en recevant la pièce produite dans la procédure civile qu’elle a " appris, avec stupéfaction, que cette attestation (...) avait été subtilisée ". Elle ajoute que " ce vol a été commis à une date (qu’elle) ignore mais certainement lors de l’exercice du droit de visite (...) ", et que " en son absence, il (ndr : l'accusé) a fouillé dans (ses) affaires personnelles et subtilisé l'attestation de salaire " (dossier, pièce n. 4). A aucun moment elle n’évoque une éventuelle découverte de la disparition de l’original. Quant à l’accusé, il a déclaré au juge d’instruction qu' " il est vrai que l’ai remis à mon avocate (...) une copie de l’attestation de salaire de mon épouse. J’avais trouvé celle-ci dans notre appartement à Morges. Je l’ai prise avant la décision du (sic) mesures provisionnelles du 30.07.2009 " (dossier, procès‑verbal d'audition n. 3). Mal fondé, le moyen doit être rejeté ainsi que le recours en nullité dans son intégralité. III. Recours en réforme 1.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 delà des conclusions du recourant (art. 447 al. 2 CPP).</w:t>
      </w:r>
    </w:p>
    <w:p>
      <w:r>
        <w:rPr>
          <w:b/>
        </w:rPr>
        <w:t>E. 2</w:t>
      </w:r>
    </w:p>
    <w:p>
      <w:r>
        <w:t>Invoquant une violation de l'art. 137 ch. 2 CP, la recourante soutient que X.________ devrait être reconnu coupable d'appropriation illégitime. Elle estime que même en se bornant à scanner ou copier son certificat de salaire, avant de le remettre à sa place, X.________ s'est accaparé, à titre temporaire, de ce document, manifestant qu'il voulait l'utiliser pour lui-même.</w:t>
      </w:r>
    </w:p>
    <w:p>
      <w:r>
        <w:rPr>
          <w:b/>
        </w:rPr>
        <w:t>E. 2.1</w:t>
      </w:r>
    </w:p>
    <w:p>
      <w:r>
        <w:t>Aux termes de l'art. 137 CP, se rend coupable d'appropriation illégitime celui qui, pour se procurer ou pour procurer à un tiers un enrichissement illégitime, se sera approprié une chose mobilière appartenant à autrui,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Il y a appropriation, au sens de cette disposition, lorsque l'auteur incorpore économiquement la chose à son propre patrimoine, pour la conserver, la consommer ou l'aliéner; il dispose alors de la chose comme un propriétaire, sans en avoir la qualité. L'appropriation suppose l'exclusion durable du pouvoir de disposer du lésé et l'accaparement de la chose par l'auteur, même à titre temporaire. L'appropriation comporte un aspect subjectif et un aspect objectif : l'auteur doit avoir la volonté, au moins à titre éventuel, d'incorporer la chose à son patrimoine et cette volonté doit se manifester par un comportement extérieurement constatable, qui en est la concrétisation. Il y a appropriation lorsque l’auteur accomplit un acte de disposition sur la chose (par exemple, il la vend), lorsqu’il la consomme ou encore lorsqu’il manifeste qu’il veut la garder et l’utiliser pour lui-même pendant une durée indéterminée (par exemple, il installe l’autoradio dans sa voiture). Il n’y a pas d’appropriation si d’emblée l’auteur veut rendre la chose intacte après un acte d’utilisation (Corboz, Les infractions en droit suisse, vol. I, 3 ème éd., 2010, nn. 9 et 10 ad art. 137 CP et les références citées).</w:t>
      </w:r>
    </w:p>
    <w:p>
      <w:r>
        <w:rPr>
          <w:b/>
        </w:rPr>
        <w:t>E. 2.2</w:t>
      </w:r>
    </w:p>
    <w:p>
      <w:r>
        <w:t>Dans le cas présent, le comportement de X.________ entre dans le cadre de cette dernière hypothèse. En copiant un document avant de le remettre immédiatement à sa place, le prénommé n'a pas " disposé de " ou " consommé " l'original au sens de l'art. 137 CP. Il l'a uniquement brièvement utilisé, sans intention de le garder durablement. Il ne s'est dès lors pas approprié une chose mobilière appartenant à autrui au sens de la disposition précitée. Dans ces circonstances, on ne saurait retenir à l'encontre de l'accusé une quelconque intention délictueuse et il convient de confirmer l’acquittement de X.________ sur ce chef d’accusation. Le recours en réforme est donc mal fondé sur ce point.</w:t>
      </w:r>
    </w:p>
    <w:p>
      <w:r>
        <w:rPr>
          <w:b/>
        </w:rPr>
        <w:t>E. 3</w:t>
      </w:r>
    </w:p>
    <w:p>
      <w:r>
        <w:t>La recourante fait valoir que le premier juge aurait dû statuer sur sa conclusion tendant à l’allocation de dépens, soit en l’admettant, soit en la rejetant. Elle estime encore que des dépens auraient dû lui être alloués, le tribunal ayant admis que l’accusé avait eu un comportement critiquable et l’ayant condamné à supporter une part des frais.</w:t>
      </w:r>
    </w:p>
    <w:p>
      <w:r>
        <w:rPr>
          <w:b/>
        </w:rPr>
        <w:t>E. 3.1</w:t>
      </w:r>
    </w:p>
    <w:p>
      <w:r>
        <w:t>L'action civile est l'accessoire de l'action pénale contre l'auteur de l'infraction (Piquerez, Traité de procédure pénale suisse, 2 ème éd., Zurich 2006, n° 1033). C'est la procédure pénale cantonale qui détermine si et dans quelles conditions le juge peut connaître des conclusions civiles (Piquerez, op. cit., n° 1035). En procédure vaudoise, le juge pénal ne peut allouer des conclusions civiles au sens de l'art. 97 let. a CPP que lorsqu'il condamne sur le plan pénal (JT 1995 III 125). L'art. 372 al. 1 CPP prescrit que si le juge considère qu'il n'est pas suffisamment renseigné pour statuer sur les conclusions civiles, il en donne acte à la partie civile et la renvoie à agir devant le juge compétent. Le code de procédure pénale vaudois, dans ses dispositions traitant des conclusions civiles (cf. art. 97, 357 et 372 à 372b CPP), ne prévoit pas d'obligation du juge pénal d'établir d'office les faits pouvant justifier l'allocation des conclusions civiles prises devant lui. Or, selon la loi civile (art. 8 CC, Code civil suisse du 10 décembre 1907, RS 210; art. 42 al. 1 CO, Loi fédérale complétant le Code civil suisse du 30 mars 1911 – Code des obligations – RS 220), il incombe au demandeur d'apporter la preuve des éléments de fait justifiant ses prétentions. Lorsqu'il ne ressort pas des faits établis dans la procédure pénale qu'une prétention civile peut être jugée immédiatement et que la partie civile n'a pas allégué, offres de preuve à l'appui, les éléments de fait qui permettraient l'allocation d'une telle indemnité, le juge pénal ne peut se voir reprocher de ne pas statuer sur les conclusions de la partie civile, mais de donner acte à celle-ci de ses réserves civiles. En effet, le rejet de conclusions civiles, ayant force de chose jugée (art. 372 al. 3 CPP), fait obstacle à toute action de la partie civile contre l'accusé devant le juge civil en raison des faits ayant donné lieu à l'action pénale; une telle décision ne doit par conséquent être prise que si les conclusions civiles apparaissent d'emblée dénuées de tout fondement; sinon, le juge doit donner acte de ses réserves civiles à la partie civile (Bovay et alii, op. cit., n. 3.1 ad art. 372 CPP et la jurisprudence citée), étant précisé que "donner acte de ses réserves civiles" signifie simplement que l'on ne se prononce pas, soit qu'on ne rejette pas dites conclusions (CCASS, 8 mai 2006, n° 103, c. 3b). La partie civile ne saurait obtenir des dépens pour frais d'intervention pénale qu'en cas de condamnation de l'accusé à une peine ou à des dommages‑intérêts (JT 1961 III 9). L'arrêt publié au JT 1961 III 9 doit être nuancé. Dans plusieurs arrêts récents, la Cour de cassation a considéré que les dépens pouvaient être mis à la charge de l'accusé libéré, lorsqu'il avait donné lieu à l'ouverture de l'action pénale par un comportement répréhensible, lorsqu'il avait été notamment condamné aux frais de la cause ou lorsque la partie civile avait un intérêt moral à intervenir dans le procès pénal (Bovay et alii, op. cit., n. 4.1 ad art. 163 CPP). Pour que le prévenu libéré puisse être condamné au paiement de dépens pour frais d'intervention pénale en faveur de la partie civile, il faut que le principe de sa responsabilité civile (art. 41 CO), qui constitue le fondement d'une créance principale de la partie lésée, ait été reconnu par le juge pénal, par application analogique des règles concernant les frais (cf. art. 163 al. 2 i.f. CPP; Bovay et alii, op. cit., n. 2.1 ad art. 158 CPP), étant entendu que cette responsabilité doit être fondée sur le fait, imputable au prévenu, qui a donné lieu à l'action pénale. Inversement, le juge pénal ne peut rejeter la demande de dépens de la partie civile que lorsque la responsabilité civile du prévenu envers la partie civile est manifestement exclue ou qu'elle ne saurait en aucune façon être fondée sur le fait, imputable au prévenu, qui a donné lieu à l'action pénale. Lorsque ni l'une ni l'autre de ces hypothèses ne sont réalisées, le juge pénal doit renvoyer la partie civile à agir devant le juge civil pour ses conclusions en dépens (Bovay et alii, op. cit., nn. 4.1 et 4.7 ad art. 163 CPP et les références citées).</w:t>
      </w:r>
    </w:p>
    <w:p>
      <w:r>
        <w:rPr>
          <w:b/>
        </w:rPr>
        <w:t>E. 3.2</w:t>
      </w:r>
    </w:p>
    <w:p>
      <w:r>
        <w:t>En l'espèce, le tribunal ne s'est pas prononcé explicitement sur la question des dépens, se bornant à relever que l'acquittement de l'accusé impliquait qu'il soit donné acte à la plaignante de ses réserves civiles. Cette motivation s'avère insuffisante dans la mesure où une indemnité pour frais d'avocat peut néanmoins être accordée aux conditions de l'art. 158 CPP. Sur ce point, le premier juge a estimé que l’accusé avait eu un comportement " civilement critiquable dans la mesure où il a agi au domicile de son épouse, qui lui faisait confiance, et alors que cette dernière était absente " (jgt., p. 7). On ne voit cependant pas en quoi les actes de l'accusé violeraient une norme de comportement résultant de l’ordre juridique suisse. Certes, on peut moralement blâmer l’accusé d’avoir copié un document sans en parler à son épouse, mais il ne s'agit pas là d'un acte civilement répréhensible. Il n’y a pas eu soustraction et, en sa qualité d’époux, X.________ avait le droit d’être informé du contenu du document litigieux. Ainsi, si le raisonnement du premier juge aurait dû le conduire à entrer en matière sur la prétention en dépens de la plaignante, la conclusion civile aurait dû être rejetée. Dans le cas présent, la partie civile conserve le droit d'exiger, devant le juge civil, la couverture de ses frais d'intervention au pénal. La conclusion relative à l'allocation de dépens de première instance est dès lors mal fondée et doit être rejetée.</w:t>
      </w:r>
    </w:p>
    <w:p>
      <w:r>
        <w:rPr>
          <w:b/>
        </w:rPr>
        <w:t>E. 4</w:t>
      </w:r>
    </w:p>
    <w:p>
      <w:r>
        <w:t>En définitive, aucun des moyens invoqués par J.________ n’est retenu. Son recours ne peut dès lors qu’être rejeté en application de l’art. 431 al. 2 CPP et le jugement confirmé, les frais de deuxième instance étant mis à sa charge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