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524 vom 13. September 2011</w:t>
      </w:r>
    </w:p>
    <w:p>
      <w:r>
        <w:t>VD Tribunal cantonal, 2011-09-13, FR</w:t>
      </w:r>
    </w:p>
    <w:p>
      <w:r>
        <w:rPr>
          <w:b/>
        </w:rPr>
        <w:t xml:space="preserve">Quelle: </w:t>
      </w:r>
      <w:r>
        <w:t>https://mcp.opencaselaw.ch/entscheid/vd_findinfo_HC___2011___524</w:t>
      </w:r>
    </w:p>
    <w:p>
      <w:r>
        <w:t>FR: VD_FINDINFO HC / 2011 / 524 du 13 septembre 2011</w:t>
      </w:r>
    </w:p>
    <w:p>
      <w:r>
        <w:t>IT: VD_FINDINFO HC / 2011 / 524 del 13 settembre 2011</w:t>
      </w:r>
    </w:p>
    <w:p>
      <w:pPr>
        <w:pStyle w:val="Heading2"/>
      </w:pPr>
      <w:r>
        <w:t>Regeste</w:t>
      </w:r>
    </w:p>
    <w:p>
      <w:r>
        <w:t>ASSISTANCE JUDICIAIRE | 29 al. 3 Cst., 117 CPC (CH)</w:t>
      </w:r>
    </w:p>
    <w:p>
      <w:pPr>
        <w:pStyle w:val="Heading2"/>
      </w:pPr>
      <w:r>
        <w:t>Erwägungen</w:t>
      </w:r>
    </w:p>
    <w:p>
      <w:r>
        <w:rPr>
          <w:b/>
        </w:rPr>
        <w:t>E. 1</w:t>
      </w:r>
    </w:p>
    <w:p>
      <w:r>
        <w:t>La décision dont est recours a été rendue par un président de tribunal d'arrondissement ayant statué sur une requête d'assistance judiciaire en application de l'art. 39 al. 2 CDPJ (Code de droit privé judiciaire vaudois du 12 janvier 2010; RSV 211.02),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le recours est par conséquent recevable, à l’exception toutefois des nouvelles allégations de faits qu’il contient et des pièces nouvelles qui y sont jointes (art. 326 CPC).</w:t>
      </w:r>
    </w:p>
    <w:p>
      <w:r>
        <w:rPr>
          <w:b/>
        </w:rPr>
        <w:t>E. 2</w:t>
      </w:r>
    </w:p>
    <w:p>
      <w:r>
        <w:t>En vertu de l'art. 117 CPC ,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 17 et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Rüegg, Basler Kommentar, Schweizerischen Zivilprozess-ordnug, n. 12 ad. art 117; Emmel, Kommentar zur Schweizerischenprozessordnung (ZPO), n. 10 ad art. 117). On tiendra en outre compte des primes d'assurance obligatoires ou usuelles ainsi que de la charge fiscale, pour autant que ces sommes soient plus ou moins régulièrement payées (Corboz, ibid.). En l'espèce, il résulte des pièces au dossier que le recourant jouit d'un revenu mensuel net de 10'273 francs. Ses frais de transport, qui représentent, leasing compris, une somme de près de 2'000 fr. par mois, sont excessifs. Il lui appartient en premier lieu de réduire son train de vie de manière à faire correspondre ces frais à des charges d'entretien indispensables. Cela étant, même si l'on tient compte de l'intégralité de ses charges, le recourant bénéficie encore d'un disponible de 813 fr. Certes, il aura peut-être un jour la charge d'un logement. Toutefois, tel n'est pas le cas aujourd'hui. On peut d'ores et déjà remarquer à cet égard que, si le recourant choisit de trouver un logement plus proche de son lieu de travail, il réduira d’autant ses frais de transport. La notion d'indigence, condition supposant la mise en péril grave de l'existence par l'engagement de frais de procédure (Message du Conseil fédéral 06.062 du 28 juin 2006, p. 6912 ad art. 115 projet ; ATF 128 I 225 ; JT 2006 IV 47 ; Bohnet et alii, Code de procédure civile commenté, n. 21 ad art. 117 CPC),  n'étant pas réalisée, en l’espèce, le premier juge a par conséquent eu raison de refuser le bénéfice de l'assistance judiciaire au recourant,</w:t>
      </w:r>
    </w:p>
    <w:p>
      <w:r>
        <w:rPr>
          <w:b/>
        </w:rPr>
        <w:t>E. 3</w:t>
      </w:r>
    </w:p>
    <w:p>
      <w:r>
        <w:t>Il s’ensuit que le recours doit être rejeté et le prononcé confirmé. Le présent arrêt est rendu sans frais (art. 119 al. 6 CPC), ni dépens, le président du tribunal d’arrondissement n’ayant pas qualité de partie, mais d’autorité de première instance. . Par ces motifs, la Chambre des recours civile du Tribunal cantonal, statuant à huis clos, prononce : I.              Le recours est rejeté. II. Le prononcé est confirmé. III.              L'arrêt motivé, rendu sans frais ni dépens, est exécutoire. Le président :               La greffière : Du 13 septembre 2011 Le dispositif de l'arrêt qui précède est communiqué par écrit aux intéressés. La greffière : Du L'arrêt qui précède, dont la rédaction a été approuvée à huis clos, est notifié en expédition complète, par l'envoi de photocopies, à : ‑ Me Anne-Louise Gilliéron (pour A.F.________).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