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520 vom 21. September 2011</w:t>
      </w:r>
    </w:p>
    <w:p>
      <w:r>
        <w:t>VD Tribunal cantonal, 2011-09-21, FR</w:t>
      </w:r>
    </w:p>
    <w:p>
      <w:r>
        <w:rPr>
          <w:b/>
        </w:rPr>
        <w:t xml:space="preserve">Quelle: </w:t>
      </w:r>
      <w:r>
        <w:t>https://mcp.opencaselaw.ch/entscheid/vd_findinfo_HC___2011___520</w:t>
      </w:r>
    </w:p>
    <w:p>
      <w:r>
        <w:t>FR: VD_FINDINFO HC / 2011 / 520 du 21 septembre 2011</w:t>
      </w:r>
    </w:p>
    <w:p>
      <w:r>
        <w:t>IT: VD_FINDINFO HC / 2011 / 520 del 21 settembre 2011</w:t>
      </w:r>
    </w:p>
    <w:p>
      <w:pPr>
        <w:pStyle w:val="Heading2"/>
      </w:pPr>
      <w:r>
        <w:t>Regeste</w:t>
      </w:r>
    </w:p>
    <w:p>
      <w:r>
        <w:t>EXPULSION DE LOCATAIRE, EXÉCUTION FORCÉE | 309 let. a CPC (CH), 319 let. a CPC (CH), 321 al. 2 CPC (CH), 339 al. 2 CPC (CH), 341 CPC (CH)</w:t>
      </w:r>
    </w:p>
    <w:p>
      <w:pPr>
        <w:pStyle w:val="Heading2"/>
      </w:pPr>
      <w:r>
        <w:t>Erwägungen</w:t>
      </w:r>
    </w:p>
    <w:p>
      <w:r>
        <w:rPr>
          <w:b/>
        </w:rPr>
        <w:t>E. 1</w:t>
      </w:r>
    </w:p>
    <w:p>
      <w:r>
        <w:t>La loi du 18 mai 1955 sur la procédure d'expulsion en matière de baux à loyer et à ferme (LPEBL; RSV 221.305) et le Code de procédure civile vaudois du 14 décembre 1966 (CPC-VD; RSV 270.11) ont été abrogés par l'entrée en vigueur le 1er janvier 2011 du Code de procédure civile du 19 décembre 2008 (CPC; RS 272). L'avis d'exécution forcée, objet du présent recours, a été notifié aux parties le 16 août 2011. Sont donc applicables au présent recours les voies de droit régies par le CPC (art. 405 al. 1 CPC).</w:t>
      </w:r>
    </w:p>
    <w:p>
      <w:r>
        <w:rPr>
          <w:b/>
        </w:rPr>
        <w:t>E. 2</w:t>
      </w:r>
    </w:p>
    <w:p>
      <w:r>
        <w:t>L'appel est irrecevable contre les décisions du tribunal de l'exécution (art. 309 let. a CPC), qui peuvent donc faire l'objet d'un recours (art. 319 let. a CPC). Selon l'art. 319 let. a CPC (en relation avec l'art. 309 let. a CPC), un recours peut être formé contre une décision du tribunal de l'exécution dans les dix jours dès la notification de la décision attaquée (art. 321 al. 2 CPC). En l’espèce, l'acte de recours, interjeté en temps utile, émane de la locataire occupant les locaux loués par l'intimée; elle justifie de son intérêt à recourir par le risque de se voir expulser de son logement. Le recours est dès lors recevable.</w:t>
      </w:r>
    </w:p>
    <w:p>
      <w:r>
        <w:rPr>
          <w:b/>
        </w:rPr>
        <w:t>E. 3</w:t>
      </w:r>
    </w:p>
    <w:p>
      <w:r>
        <w:t>Saisie d'un recours contre une décision d'exécution forcée régie en première instance par la procédure sommaire (cf. art. 339 al. 2 CPC), la Chambre des recours civile statue dans une composition à trois juges (JT 2011 III 44). Le recours contre la décision d'exécution est limité au droit (art. 320 let. a CPC) et à la constatation manifestement inexacte des faits (art. 320 let. b CPC).</w:t>
      </w:r>
    </w:p>
    <w:p>
      <w:r>
        <w:rPr>
          <w:b/>
        </w:rPr>
        <w:t>E. 4</w:t>
      </w:r>
    </w:p>
    <w:p>
      <w:r>
        <w:t>La recourante invoque une violation des art. 7 et 12 Cst (Constitution fédérale du 18 avril 1999; RS 101) et fait valoir que l'exécution de la décision d'expulsion violerait le droit à la dignité humaine et la placerait dans une situation de détresse dans la mesure où elle n'a pas trouvé encore trouvé de solution de relogement. Elle invoque en outre l'art. 8 CEDH (Convention de sauvegarde des droits de l'homme et des libertés fondamentales; RS 0.101) qui protége la sphère privée, la vie familiale et le domicile des personnes.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se sont produits après la notification de celle-ci (al. 3).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Ce seront des faits dont la survenance a eu pour conséquence l'extinction de la prétention à exécuter (Jeandin, Code de procédure civile commenté, n. 16 ad. art. 341 CPC). Cela étant, la recourante ne fait que se prévaloir de moyens à l'encontre de la décision d'expulsion elle-même. Elle ne saurait toutefois, dans le cadre du présent recours, remettre en cause le caractère exécutoire de l'ordonnance d'expulsion sur laquelle repose l'avis d'exécution forcée. Pour le surplus, la recourante ne fait valoir aucun moyen tendant à démontrer qu'un accord aurait été conclu directement avec la bailleresse lui permettant de rester dans les locaux. Certes, des motifs humanitaires peuvent être pris en compte au stade de l'exécution forcée en application du principe de proportionnalité. Toutefois, dans tous les cas, l'ajournement de l'exécution forcée ne saurait être que relativement bref et ne doit pas équivaloir en fait à une nouvelle prolongation de bail (ATF 117 Ia 336 c. 2b). Le Tribunal cantonal considère que, sauf cas particulier, un délai de libération des locaux de quinze à vingt jours est admissible (CREC I 9 décembre 2010/646 c. 4 et les références citées). En l'espèce, le principe de proportionnalité est respecté dans la mesure où le délai de 5 semaines fixé pour l'exécution forcée est suffisant au regard des exigences de la jurisprudence précitée.</w:t>
      </w:r>
    </w:p>
    <w:p>
      <w:r>
        <w:rPr>
          <w:b/>
        </w:rPr>
        <w:t>E. 5</w:t>
      </w:r>
    </w:p>
    <w:p>
      <w:r>
        <w:t>En définitive, le recours, mal fondé, doit être rejeté dans la procédure de l'art. 322 al. 1 CPC et la décision d'exécution forcée confirmée. Les frais judiciaires de deuxième instance sont arrêtés à 200 fr. (art. 69 al. 1 TFJC [tarif des frais judiciaires en matière civile du 28 septembre 2010; RSV 270.11.5]). Les frais sont mis à la charge de la recourante qui succombe (art. 106 al. 1 CPC). L'intimée n'a pas droit à des dépens, dès lors qu'elle n'a pas été invitée à se déterminer (art. 322 al. 1 CPC). Il n'y a pas lieu d'inviter le juge de paix à fixer une nouvelle date pour l'exécution forcée, l'effet suspensif n'ayant pas été accordé au recours.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 la recourante H.________. IV. Il n'est pas alloué de dépens. V. L'arrêt, motivé, est exécutoire. Le président :               Le greffier : Du 23 septembre 2011 Le dispositif de l'arrêt qui précède est communiqué par écrit aux intéressés. Le greffier : Du L'arrêt qui précède, dont la rédaction a été approuvée à huis clos, est notifié en expédition complète, par l'envoi de photocopies, à : ‑ Me Jacques Roulet (pour H.________), ‑ M. Jean-Marc Decollogny (pour D.________). La Chambre des recours civile considère que la valeur litigieuse est de 2'560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