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506 vom 18. August 2011</w:t>
      </w:r>
    </w:p>
    <w:p>
      <w:r>
        <w:t>VD Tribunal cantonal, 2011-08-18, FR</w:t>
      </w:r>
    </w:p>
    <w:p>
      <w:r>
        <w:rPr>
          <w:b/>
        </w:rPr>
        <w:t xml:space="preserve">Quelle: </w:t>
      </w:r>
      <w:r>
        <w:t>https://mcp.opencaselaw.ch/entscheid/vd_findinfo_HC___2011___506</w:t>
      </w:r>
    </w:p>
    <w:p>
      <w:r>
        <w:t>FR: VD_FINDINFO HC / 2011 / 506 du 18 août 2011</w:t>
      </w:r>
    </w:p>
    <w:p>
      <w:r>
        <w:t>IT: VD_FINDINFO HC / 2011 / 506 del 18 agosto 2011</w:t>
      </w:r>
    </w:p>
    <w:p>
      <w:pPr>
        <w:pStyle w:val="Heading2"/>
      </w:pPr>
      <w:r>
        <w:t>Regeste</w:t>
      </w:r>
    </w:p>
    <w:p>
      <w:r>
        <w:t>PROTECTION DE L'UNION CONJUGALE, MESURE PROVISIONNELLE, SITUATION FINANCIÈRE, NOUVEAU MOYEN DE FAIT | 176 al. 1 ch. 1 CC, 285 al. 2 CC, 308 al. 1 let. b CPC (CH), 317 al. 1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139; Hohl, Procédure civile, Tome II, 2 ème éd., n. 2410 p. 437). Les parties peuvent toutefois faire valoir que le juge de première instance a violé la maxime inquisitoire en ne prenant pas en considération certains faits (Hohl, op.cit.,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En l'espèce, le couple a encore deux enfants mineurs à charge si bien que la maxime d'office et la maxime inquisitoire illimitée sont applicables (art. 296 al. 1 et 3 CPC). Les pièces produites en appel, qui avaient été en partie déjà produites à l'audience du 26 mai 2011 et qui sont pour le reste postérieures à cette audience sont recevables.</w:t>
      </w:r>
    </w:p>
    <w:p>
      <w:r>
        <w:rPr>
          <w:b/>
        </w:rPr>
        <w:t>E. 3</w:t>
      </w:r>
    </w:p>
    <w:p>
      <w:r>
        <w:t>L'appelant conteste la quotité de la contribution d'entretien mise à sa charge pour l'entretien des siens. Il reproche au premier juge de n'avoir pas fait mention des allocations familiales perçues, par 1'290 francs. Il estime en outre que le premier juge s'est fondé à tort sur la capacité contributive dont il a bénéficié durant la vie conjugale et qu'il aurait dû tenir compte du montant indiqué sur les fiches mensuelles de salaire délivrées par son employeur, la société paternelle [...] SA, dès lors que ce montant correspond au salaire qu'il perçoit effectivement. Il rappelle que cette société, sur laquelle repose la capacité contributive retenue par le premier juge, se trouve en proie à de graves difficultés financières et qu'elles l'ont conduit à prélever directement sur son salaire le loyer du logement familial. 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Lorsque l'époux attributaire a la charge de plusieurs enfants communs, un partage du montant disponible par 60 % en faveur de l'épouse et 40 % pour l'époux, voire par 2/3 – 1/3, échappe à la critique (Juge délégué CACI 14 mars 2011/15).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C'est au créancier de la contribution d'entretien qu'il incombe de préciser les dépenses nécessaires à son train de vie et de les rendre vraisemblables. b) Au vu des principes exposés ci-dessus, l'application de la méthode du minimum vital avec répartition des excédents et l'attribution à l'intimée d'une quote-part de 65 % du disponible peut être confirmée. Ces points ne sont d'ailleurs pas contestés par l'appelant. c) L'appelant reproche au premier juge de ne pas avoir fait mention des allocations familiales, par 1'290 francs. Les allocations familiales ne doivent en principe pas être retenues dans la capacité contributive du débirentier ou du parent gardien, dès lors que ce sont les enfants qui en sont titulaires (TF 5A_402/2010 du 10 septembre 2010, RMA 2010 p. 451 et réf.). Elles n'entrent dès lors pas dans le calcul de la méthode du minimum vital avec répartition des excédents. Au demeurant, selon l'art. 285 al. 2 CC, sauf décision contraire du juge, les allocations pour enfants doivent être versées en sus de la contribution d'entretien. Le moyen, pour autant qu'il en soit un, doit être rejeté. c) Se fondant sur les fiches de salaires signées dès mars 2011 par son père [...], président du conseil d'administration de l'entreprise [...], dont l'appelant est également administrateur, ce dernier invoque que son salaire mensuel brut a été réduit à 4'800 fr., sous déduction de 2'000 fr. de loyer pour le logement familial sis à [...]. Il produit également des extraits de son compte ouvert auprès de la [...] sur lesquels figurent des virements mensuels de 2'800 francs. Le premier juge n'a pas méconnu ces pièces. Il a cependant considéré qu'elles n'étaient pas probantes dès lors que ce n'est que depuis le début de la procédure de mesures protectrices que cette réduction est intervenue, alors que l'appelant avait jusqu'alors toujours bénéficié de virements de l'entreprise familiale supérieurs à 10'000 fr. par mois en 2009 et 2010, nonobstant le fait que la société était financièrement fragile depuis plusieurs années. Cette appréciation est adéquate. La réduction de revenus, brusquement intervenue au moment où la procédure de mesures protectrices était déposée, paraît clairement destinée à diminuer les contributions auxquelles l'appelant pourrait être astreint. La situation de l'appelant, administrateur d'une entreprise familiale dont son père est président du conseil d'administration, est proche de celle de l'indépendant, pour lequel la jurisprudence préconise de prendre en compte les revenus moyens sur plusieurs années, pour tenir compte des fluctuations (Bastons Buletti, L'entretien après divorce: méthodes de calcul, montant, dure et limites, SJ 2007 II 80 note infrapaginale 19; TF 5A_ 246/2009 du 22 mars 2010, FamPra.ch. 2010 p. 678; TF 5P_342/2001 du 20 décembre 2001 c. 3a). Le premier juge a déjà suffisamment pris en considération l'évolution de la situation, en ne tenant plus compte du loyer jusqu'ici débité du compte actionnaire. En l'état, il y a lieu de s'en tenir à la moyenne des montants versés en 2009 et 2010, qui fournissent le train de vie des époux durant la vie commune. Il est vrai que les exercices 2009 et 2010 de la société se sont soldés par une perte et que les difficultés financières durent depuis plusieurs années. Les revenus versés jusqu'au dépôt de la requête de mesures protectrices ne pourront être maintenus à long terme, si les circonstances financières actuelles perdurent. La situation devra dès lors être revue à la fin de l'année, selon l'évolution de la société. L'appelant ne remettant par ailleurs pas en cause le calcul des charges des parties, ni celui du revenu de l'intimée, le moyen est infondé et l'appel doit être rejeté sur ce point.</w:t>
      </w:r>
    </w:p>
    <w:p>
      <w:r>
        <w:rPr>
          <w:b/>
        </w:rPr>
        <w:t>E. 4</w:t>
      </w:r>
    </w:p>
    <w:p>
      <w:r>
        <w:t>L'appelant soutient que la contribution d'entretien n'est due que dès le 1 er avril 2011, date de la séparation effective des époux. Alors que, dans les considérants de son prononcé, le premier juge a évoqué que la pension pourrait être due dès le 1er mars 2011, début du mois le plus proche du dépôt de la requête, il a finalement fixé le début de cette pension au 1er avril 2011 dans le dispositif. Dès lors qu'il s'agit du début du mois de la séparation effective des époux et qu'il n'est pas établi que l'appelant ait payé toutes les charges pour ce mois pro rata temporis, étant rappelé qu'il est d'expérience que de nombreuses dépenses sont réglées à la fin du mois concerné, cette solution est adéquate et peut être confirmée. Mal fondé, le moyen doit être rejeté.</w:t>
      </w:r>
    </w:p>
    <w:p>
      <w:r>
        <w:rPr>
          <w:b/>
        </w:rPr>
        <w:t>E. 5</w:t>
      </w:r>
    </w:p>
    <w:p>
      <w:r>
        <w:t>L'appelant fait valoir que l'intimée fait ménage commun avec un tiers. Elle estime que le premier juge aurait dès lors dû prendre en considération cet élément. Cette circonstance n'est pas établie. L'appelant n'a d'ailleurs requis aucune mesure d'instruction sur ce point en première instance, alors qu'il lui appartenait de le faire en vertu de son devoir de collaboration. Il ne propose pas plus de mesure d'instruction en deuxième instance. Mal fondé, le moyen doit être rejeté.</w:t>
      </w:r>
    </w:p>
    <w:p>
      <w:r>
        <w:rPr>
          <w:b/>
        </w:rPr>
        <w:t>E. 7</w:t>
      </w:r>
    </w:p>
    <w:p>
      <w:r>
        <w:t>En définitive, l'appel doit être rejeté dans la procédure de l'art. 312 al. 1 CPC et le prononcé confirmé. Les frais judiciaires de deuxième instance sont arrêtés à 600 fr. (art. 63 al. 1 et 65 al. 2 TFJC [tarif des frais judiciaires en matière civile du 28 septembre 2010; RSV 270.11.5]). L'appelant, qui succombe, doit supporter les frais judiciaires (art. 106 al. 1 CPC). L'intimée n'a pas été invitée à déposer une réponse (art. 312 al. 1 CPC). Il n'y a dès lors pas lieu de lui allouer des dépens de deuxième instance.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A.R.________. IV. L'arrêt motivé est exécutoire. Le juge délégué : Le greffier : Du 19 août 2011 Le dispositif de l'arrêt qui précède est communiqué par écrit aux intéressés. Le greffier : Du L'arrêt qui précède, dont la rédaction a été approuvée à huis clos, est notifié en expédition complète, par l'envoi de photocopies, à : ‑ Me Aba Neeman (pour A.R.________), ‑ Me Laure Chappaz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