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493 vom 21. August 2011</w:t>
      </w:r>
    </w:p>
    <w:p>
      <w:r>
        <w:t>VD Tribunal cantonal, 2011-08-21, FR</w:t>
      </w:r>
    </w:p>
    <w:p>
      <w:r>
        <w:rPr>
          <w:b/>
        </w:rPr>
        <w:t xml:space="preserve">Quelle: </w:t>
      </w:r>
      <w:r>
        <w:t>https://mcp.opencaselaw.ch/entscheid/vd_findinfo_HC___2011___493</w:t>
      </w:r>
    </w:p>
    <w:p>
      <w:r>
        <w:t>FR: VD_FINDINFO HC / 2011 / 493 du 21 août 2011</w:t>
      </w:r>
    </w:p>
    <w:p>
      <w:r>
        <w:t>IT: VD_FINDINFO HC / 2011 / 493 del 21 agosto 2011</w:t>
      </w:r>
    </w:p>
    <w:p>
      <w:pPr>
        <w:pStyle w:val="Heading2"/>
      </w:pPr>
      <w:r>
        <w:t>Regeste</w:t>
      </w:r>
    </w:p>
    <w:p>
      <w:r>
        <w:t>DIVORCE, MESURE PROVISIONNELLE, OBLIGATION D'ENTRETIEN, CONJOINT, ENFANT, MOTIVATION DE LA DEMANDE, DIRECTIVE{INJONCTION}, DÉBITEUR | 137 al. 2 CC, 176 al. 1 ch. 1 CC, 176 CC, 177 CC, 291 CC, 308 al. 1 let. b CPC (CH), 310 CPC (CH), 311 al. 1 CPC (CH)</w:t>
      </w:r>
    </w:p>
    <w:p>
      <w:pPr>
        <w:pStyle w:val="Heading2"/>
      </w:pPr>
      <w:r>
        <w:t>Erwägungen</w:t>
      </w:r>
    </w:p>
    <w:p>
      <w:r>
        <w:rPr>
          <w:b/>
        </w:rPr>
        <w:t>E. 1</w:t>
      </w:r>
    </w:p>
    <w:p>
      <w:r>
        <w:t>a) L’ordonnance attaquée a été rendue le 7 juin 2011, de sorte que les voies de droit sont régies par le Code de procédure civile suisse du 19 décembre 2008 (ci-après: CPC,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44). bb) En l'espèce, la pièce n o 34, à savoir le décompte de virement pour le mois de février 2011 établi le 8 février 2011 par l’Hospice général produit par l'appelant, figurait déjà au dossier de première instance. Pour le reste de ses réquisitions ou productions de preuves, l’appelant ne démontre pas que les conditions de l’art. 317 al. 1 CPC mentionnées plus haut seraient réunies pour administrer ces nouveaux moyens, ni que ceux-ci s’imposeraient dans le cadre de l’instruction d’office. Il n'invoque pas non plus une violation de la maxime inquisitoire illimitée par le premier juge.</w:t>
      </w:r>
    </w:p>
    <w:p>
      <w:r>
        <w:rPr>
          <w:b/>
        </w:rPr>
        <w:t>E. 3</w:t>
      </w:r>
    </w:p>
    <w:p>
      <w:r>
        <w:t>L’appelant critique le montant de la contribution qu’il doit pour l’entretien de sa famille. a) Selon l’art. 176 al. 1 ch. 1 CC, applicable par renvoi de l’art. 137 al. 2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JT 1997 I 46 ; TF 5A_205/2010 du 12 juillet 2010 c. 4.2.3, publié in La pratique du droit de la famille [FamPra.ch] 2010, p. 894). C’est au créancier de la contribution d’entretien qu’il incombe de préciser les dépenses nécessaires à son train de vie et de les rendre vraisemblables (ATF 115 lI 424 c. 2, JT 1992 I 258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La jurisprudence a en outre précisé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précité c. 4.2.3 ; TF 5A_710/2009 du 22 février 2010 c. 4.1 et les références citées). b) Une nouvelle décision en matière de mesures provisoires n’est possible que si, depuis l’entrée en force des mesures protectrices ou provisoires prononcées précédemment, les circonstances de fait ont changé d’une manière essentielle et durable, notamment en matière de revenus, ou si le juge a ignoré des éléments essentiels ou mal apprécié les circonstances (TF 5A_272/2009 du 16 septembre 2009 c. 2.1). Tel est le cas en l’occurrence, ce qui n’est d’ailleurs pas contesté par l’appelant.</w:t>
      </w:r>
    </w:p>
    <w:p>
      <w:r>
        <w:rPr>
          <w:b/>
        </w:rPr>
        <w:t>E. 4</w:t>
      </w:r>
    </w:p>
    <w:p>
      <w:r>
        <w:t>L’appelant critique le montant de son salaire et celui de ses charges tels que retenus par le premier juge. a) Il soutient tout d’abord que son salaire mensuel net s’élève à 5'952 fr. 90. Ce grief doit être rejeté. En effet, il résulte des fiches de salaire produites par l’intéressé (cf. pièces n os</w:t>
      </w:r>
    </w:p>
    <w:p>
      <w:r>
        <w:rPr>
          <w:b/>
        </w:rPr>
        <w:t>E. 5</w:t>
      </w:r>
    </w:p>
    <w:p>
      <w:r>
        <w:t>L’appelant critique le montant des revenus et celui des charges de l’intimée retenus par le premier juge. a) Il soutient tout d’abord que la somme de 300 fr. comptabilisée à titre de frais de transport de l’intimée et de l’un de ses enfants ne se justifie pas, pas plus que le montant de 2'511 fr. pour le loyer de l’appartement de 7,5 pièces qu’elle occupe toujours. Il relève enfin qu’elle bénéfice de subsides pour ses primes d’assurance-maladie. aa) Si les frais de transport n’ont certes pas été justifiés par l’intimée, il n’en demeure pas moins que cette dernière est à la recherche d’un emploi et que D.N.________, né en 1996, doit nécessairement se déplacer pour se rendre à l’école ou entreprendre sa formation. Dans ces circonstances, le montant de 300 fr., soit 150 fr. par personne, pris en compte par le premier juge pour les frais de transport de la mère et de l’enfant dont celle-ci a la garde ne prête pas le flanc à la critique. bb) L’intimée vit dans un appartement de 7 pièces, dont le loyer mensuel s’élève à 2'511 francs. Elle partage ce logement avec à tout le moins deux de ses enfants, son fils aîné lui versant un montant de 600 fr. par mois. Elle perçoit également la somme mensuelle de 250 fr. pour la location d’une chambre à des étudiants, de sorte que son loyer s’élève en définitive à 1'661 fr., ce qui n’est pas excessif pour un logement dans le canton de Genève. cc) Le premier juge a retenu les montants de 560 fr. 15 pour la prime d’assurance-maladie de l’intimée, de 109 fr. 55 pour celle de l’enfant dont elle a la garde et de 115 fr. pour celle de C.N.________ dont la garde a été attribuée à l'appelant. A la lecture du décompte de l’Hospice général du 8 février 2011, l’intimée bénéficie toutefois de subsides pour le paiement de ces assurances. Or, les éventuelles subventions doivent être déduites des cotisations d’assurance-maladie (cf. Collaud, Le minimum vital élargi du droit de la famille, in Revue Fribourgeoise de Jurisprudence [RFJ] 2005, pp. 313 ss, spéc. p. 318). Si l’intimée perçoit des subsides pour le paiement des primes d’assurance-maladie, cela ne change pas le résultat auquel a abouti le premier juge, puisque celui-ci a également tenu compte d’un montant pour les frais d’assurance-maladie de l’enfant dont l’appelant a la garde, alors que celui-là bénéficie également d’une subvention. Pour le reste, il résulte du document précité que l’intimée doit payer 414 fr. 40 pour sa prime d’assurance-maladie, ce qui constitue une différence peu importante par rapport au montant de 560 fr. 15 retenu par le premier juge. Ceci ne justifie pas une modification des pensions fixées par le président du tribunal d’arrondissement, étant encore rappelé que les aides sociales doivent au demeurant être subsidiaires par rapport aux prestations découlant du droit de la famille. b) L’appelant conteste le montant des revenus réalisés par l’intimée. Il estime que cette dernière a menti sur la quotité de ceux-ci et sur la réalité de sa situation professionnelle. Le premier juge a retenu que l’intimée est à la recherche d’un emploi, qu’elle n’a pas d’activité professionnelle lucrative et que son revenu se compose d’un montant de 600 fr. versé par son fils majeur qui loge chez elle, de la somme de 250 fr. par mois pour la location d’une chambre et de 445 fr. 35 reçus de l’Hospice général. Cette appréciation n’est pas critiquable. En effet, on ne saurait douter de la précarité de la situation financière de l’intimée, celle-ci bénéficiant de l’aide de l’Hospice général, qui vise précisément à soutenir les personnes qui ne sont pas en mesure de subvenir à leur entretien. L’appel est donc mal fondé sur ce point également.</w:t>
      </w:r>
    </w:p>
    <w:p>
      <w:r>
        <w:rPr>
          <w:b/>
        </w:rPr>
        <w:t>E. 6</w:t>
      </w:r>
    </w:p>
    <w:p>
      <w:r>
        <w:t>L’appelant requiert l’annulation du chiffre III du dispositif de l’ordonnance entreprise, par lequel ordre est donné à K.________ de prélever mensuellement sur son salaire la somme de 4'200 fr. et de la verser sur le compte bancaire de l’intimée. a) L’art. 311 al. 1 CPC précise que l’appel doit être écrit et motivé. L’appelant doit par conséquent expliquer les motifs pour lesquels le jugement attaqué doit être annulé et modifié (Jeandin, Code de procédure civile commenté, Bâle 2011, nn. 2-3 ad art. 311 CPC, p. 1251 ; Hohl, Procédure civile, t. II, 2 ème éd., Berne 2010, nn. 2403 ss, p. 435 s. ; Reetz/Theiler, Kommentar zur Schweizerischen Zivilprozessordnung, Sutter-Somm/Hasenböhler/Leuenberger Hrsg, 2010, nn. 36 ss ad art. 311 CPC, p. 1921 s.). Aux termes de l'art. 291 CC, lorsque les père et mère négligent de prendre soin de l'enfant, le juge peut prescrire aux débiteurs de ce parent d'opérer tout ou partie de leurs paiements entre les mains du représentant légal de l'enfant. Les art. 132 et 177 CC contiennent une réglementation identique. Selon la doctrine, le juge « peut » ordonner un avis de durée illimitée ou limitée (Hausheer/Reusser/Geiser, Berner Kommentar, 1999, n. 9f ad art. 177 CC, p. 601 ; Sutter/Freiburghaus, Kommentar zum neuen Scheidungsrecht, Zurich 1999, n. 17 ad art. 132 CC, p. 366 ; Weber, Anweisung an die Schuldner, Sicherstellung der Unterhaltsforderung und Verfügungsbeschränkung, in Pratique Juridique Actuelle [PJA] 3/2002, pp. 235 ss, spéc. p. 240; Suhner, Anweisungen an die Schuldner, thèse St-Gall 1992, pp. 63 ss). b) En l’espèce, l’appelant se contente de requérir l’annulation de l’ordre donné à son employeur de prélever sur son salaire le montant des pensions pour le verser sur le compte de l’intimée. Or, il ne motive aucunement sa conclusion, contrairement aux exigences de l’art. 311 al. 1 CPC. En particulier, il ne conteste absolument pas qu’il ne verse plus de contribution d’entretien depuis le 1 er janvier 2011 et n’affirme pas davantage qu’il serait prêt à s'acquitter spontanément des contributions qu’il doit aux siens. Insuffisamment motivé, son recours est irrecevable sur ce point.</w:t>
      </w:r>
    </w:p>
    <w:p>
      <w:r>
        <w:rPr>
          <w:b/>
        </w:rPr>
        <w:t>E. 7</w:t>
      </w:r>
    </w:p>
    <w:p>
      <w:r>
        <w:t>En conclusion, l’appel doit, en application de l’art. 312 al. 1 CPC, être rejeté dans la mesure de sa recevabilité et l’ordonnance confirmée. Vu l’issue de l’appel, les frais judiciaires de deuxième instance, arrêtés à 600 fr. (art. 65 al. 2 TFJC [tarif du 28 septembre 2010 des frais judiciaires civils, RSV 270.11.5]), sont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dans la mesure où il est recevable. II. L'ordonnance est confirmée. III. Les frais judiciaires de deuxième instance, arrêtés à 600 fr. (six cents francs), sont mis à la charge de l'appelant A.N.________. IV. L'arrêt motivé est exécutoire. Le juge délégué : La greffière : Du 23 août 2011 Le dispositif de l'arrêt qui précède est communiqué par écrit aux intéressés. La greffière : Du L'arrêt qui précède, dont la rédaction a été approuvée à huis clos, est notifié en expédition complète, par l'envoi de photocopies, à : ‑ Me Nicolas Perret (pour A.N.________), ‑ Me Patricia Michellod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