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492 vom 5. September 2011</w:t>
      </w:r>
    </w:p>
    <w:p>
      <w:r>
        <w:t>VD Tribunal cantonal, 2011-09-05, FR</w:t>
      </w:r>
    </w:p>
    <w:p>
      <w:r>
        <w:rPr>
          <w:b/>
        </w:rPr>
        <w:t xml:space="preserve">Quelle: </w:t>
      </w:r>
      <w:r>
        <w:t>https://mcp.opencaselaw.ch/entscheid/vd_findinfo_HC___2011___492</w:t>
      </w:r>
    </w:p>
    <w:p>
      <w:r>
        <w:t>FR: VD_FINDINFO HC / 2011 / 492 du 5 septembre 2011</w:t>
      </w:r>
    </w:p>
    <w:p>
      <w:r>
        <w:t>IT: VD_FINDINFO HC / 2011 / 492 del 5 settembre 2011</w:t>
      </w:r>
    </w:p>
    <w:p>
      <w:pPr>
        <w:pStyle w:val="Heading2"/>
      </w:pPr>
      <w:r>
        <w:t>Regeste</w:t>
      </w:r>
    </w:p>
    <w:p>
      <w:r>
        <w:t>COMPÉTENCE RATIONE MATERIAE | 237 CPC (CH), 59 al. 1 CPC (CH), 59 al. 2 let. b CPC (CH), 63 al. 1 CPC (CH)</w:t>
      </w:r>
    </w:p>
    <w:p>
      <w:pPr>
        <w:pStyle w:val="Heading2"/>
      </w:pPr>
      <w:r>
        <w:t>Erwägungen</w:t>
      </w:r>
    </w:p>
    <w:p>
      <w:r>
        <w:rPr>
          <w:b/>
        </w:rPr>
        <w:t>E. 1</w:t>
      </w:r>
    </w:p>
    <w:p>
      <w:r>
        <w:t>a) A teneur de l’art. 405 al. 1 CPC (Code de procédure civile suisse du 19 décembre 2008, RS 272), les recours sont régis par le droit en vigueur au moment de la communication de la décision aux parties. Cette disposition ne vise pas seulement les recours contre les jugements de fond, mais aussi les recours contre les décisions de procédure mettant fin à l’instance, par exemple en éconduisant d’instance une partie pour incompétence (Tappy, Le droit transitoire applicable lors de l’introduction de la nouvelle procédure civile unifiée, in JT 2010 III 35), ou susceptibles d’entraîner la fin de l’instance si le tribunal avait décidé dans un autre sens (contra : Tappy, op. cit, in JT 2010 III 36 note infrapaginale 64). Aucun motif pertinent ne justifie de traiter de manière différente du point de vue du droit transitoire les voies de droit contre ces deux types de décisions – qui répondent à la notion de jugement principal au sens de la terminologie vaudoise (cf. Poudret/Haldy/Tappy, Procédure civile vaudoise, 3 e éd., Lausanne 2002, n. 18 ad art. 444 CPC-VD) –, alors même qu’elles sont susceptibles d’aboutir au même résultat, savoir la fin de l’instance (CACI 14 juin 2011/122). En l’espèce, la décision incidente a rejeté une requête d’éconduction d’instance, de sorte que si le président avait décidé dans un autre sens, l’instance aurait pris fin. Il en résulte que les voies de droit sont régies par le CPC, entré en vigueur le 1 er janvier 2011. b) L’appel est recevable dans les causes non patrimoniales et dans les affaires patrimoniales pour autant que la valeur litigieuse soit de 10'000 fr. au moins. En présence de conclusions patrimoniales et non patrimoniales, l’appel est recevable pour le tout, indépendamment de la valeur litigieuse, pour autant que les conclusions non patrimoniales ne paraissent pas secondaires (Tappy, Les voies de droit du nouveau Code de procédure civile, in JT 2010 III 126). L’appel est notamment ouvert contre les décisions finales et les décisions incidentes de première instance (art. 308 al. 1 let. a CPC). Le délai d’appel est de 30 jours (art. 311 al. 1 CPC). En l’espèce, la décision entreprise constitue une décision incidente au sens de l’art. 237 CPC dès lors qu’une décision contraire mettrait fin au procès (Tappy, Les voies de droit, op. cit., p. 120). Une telle décision est susceptible d'un appel ou d'un recours immédiat (art. 237 al. 2 CPC ; Bohnet, CPC commenté, n. 9 ad art. 237 CPC). Déposé en temps utile, par une partie qui y a intérêt, dans une cause partiellement patrimoniale, l’appel est recevable à la forme.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et les réf. citées).</w:t>
      </w:r>
    </w:p>
    <w:p>
      <w:r>
        <w:rPr>
          <w:b/>
        </w:rPr>
        <w:t>E. 3</w:t>
      </w:r>
    </w:p>
    <w:p>
      <w:r>
        <w:t>a) L'appelante soutient que le premier juge a appliqué à tort l'art. 6 ch. 8 CDPJ (Code de droit privé judiciaire vaudois du 12 janvier 2010, RSV 211.01), prévoyant la compétence du président du tribunal d'arrondissement pour les actions en modification de jugement de divorce lorsqu'elles ne portent que sur les contributions d'entretien, alors qu'il aurait dû faire application de l'art. 7 ch. 5 CDPJ donnant la compétence au tribunal d'arrondissement s'agissant des autres modifications du jugement de divorce. Ce raisonnement est exact dès lors que la demande du 17 janvier 2011 de E.________ en modification du jugement de divorce ne comporte pas exclusivement des conclusions relatives aux contributions d'entretien mais également à son droit de visite sur son fils. Il résulte de ce qui précède que c'est bien le Tribunal d'arrondissement de Lausanne, et non le président du tribunal, qui est compétent en l'espèce. b) Reste ainsi à examiner quelle est la sanction de l'incompétence du juge saisi. Selon l'art. 59 al. 1 et 2 let. b CPC, après avoir vérifié d'office si les conditions de recevabilité sont remplies (art. 60 CPC), le tribunal n'entre pas en matière s'il n'est pas compétent à raison de la matière ou du lieu. La sanction est donc, en principe, l'irrecevabilité de la demande, sans possibilité de transmission de la cause devant l'autorité compétente, au contraire de ce que prévoyait l'art. 61 al. 2 CPC-VD (Code de procédure civile vaudois du 14 décembre 1966, RSV 270.11). L'art. 63 al. 1 CPC dispose que si l'acte introductif d'instance déclaré irrecevable pour cause d'incompétence est réintroduit dans le mois qui suit la déclaration d'irrecevabilité devant le tribunal ou l'autorité de conciliation compétent, l'instance est réputée introduite à la date du premier dépôt de l'acte. Certains auteurs en déduisent que la transmission d'office de l'acte n'a ainsi pas été voulue en première instance et qu'il s'agirait d'un silence qualifié du législateur (Bohnet, CPC commenté, nn. 28-29 ad art. 63). D'autres auteurs sont favorables à la transmission de la cause s'il s'agit du choix de l'autorité collégiale ou du juge unique (Zürcher, ZPO-Komm, n. 17 ad art. 59). Bohnet admet également que l'acte, qui est adressé au bon tribunal mais au mauvais juge ou à la mauvaise cour, est revêtu d'un vice de forme mineur (ATF 118 Ia 241, JT 1995 I 538) et doit être traité par le tribunal compétent (ibidem). Il y a lieu de suivre cette dernière doctrine, conforme à l'économie de la procédure et à la prohibition du formalisme excessif, d'autant que les parties ont pris cette même conclusion subsidiaire en appel. L'acte sera dès lors transmis au Tribunal d'arrondissement de Lausanne. Il convient de préciser que cette transmission intervient en l'état, l'audience de conciliation (art. 291 CPC applicable par renvoi de l'art. 284 al. 3 CPC) ayant valablement été tenue par le président (art. 41 al. 2 CDPJ). L'appel doit ainsi être admis dans ce sens.</w:t>
      </w:r>
    </w:p>
    <w:p>
      <w:r>
        <w:rPr>
          <w:b/>
        </w:rPr>
        <w:t>E. 4</w:t>
      </w:r>
    </w:p>
    <w:p>
      <w:r>
        <w:t>En conclusion, l'appel doit être partiellement admis et la décision réformée dans le sens indiqué ci-dessus. Les frais judiciaire de deuxième instance, arrêtés à 300 fr. pour chaque partie (art. 63 al. 1 TFJC [Tarif du 28 septembre 2010 des frais judiciaires civils, RSV 270.11.5]), sont laissés à la charge de l'Etat en raison de l'assistance judiciaire déjà accordée aux deux parties. Pour le surplus, il a lieu de compenser les dépens de deuxième instance (art. 106 al. 2 CPC).</w:t>
      </w:r>
    </w:p>
    <w:p>
      <w:r>
        <w:rPr>
          <w:b/>
        </w:rPr>
        <w:t>E. 5</w:t>
      </w:r>
    </w:p>
    <w:p>
      <w:r>
        <w:t>Le conseil de l’appelante a déposé le 2 septembre 2011 sa liste d'opérations, dont il ressort qu’il a consacré trois heures à la cause. Il y a ainsi lieu de fixer l’indemnité, au tarif horaire de 180 fr. (art. 2 RAJ [Règlement du 7 décembre 2010 sur l’assistance judiciaire en matière civile, RSV 211.02.3]), à 540 fr., plus 43 fr. 20 de TVA, soit, au total, 583 fr. 20. Le conseil de l'intimé a déposé le 1er septembre 2011 sa liste d'opérations, dont il ressort qu’il a consacré trois heures trente à la cause. Il y a ainsi lieu de fixer l’indemnité, au tarif horaire de 180 fr. (art. 2 RAJ), à 630 fr., plus 50 fr. 40 de TVA, et 54 fr. de débours, TVA comprise, soit, au total, 734 fr. 40. Dans la mesure de l’art. 123 CPC, les bénéficiaires de l’assistance judiciaire sont tenus au remboursement des frais judiciaires et de l’indemnité de leur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