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470 vom 16. August 2011</w:t>
      </w:r>
    </w:p>
    <w:p>
      <w:r>
        <w:t>VD Tribunal cantonal, 2011-08-16, FR</w:t>
      </w:r>
    </w:p>
    <w:p>
      <w:r>
        <w:rPr>
          <w:b/>
        </w:rPr>
        <w:t xml:space="preserve">Quelle: </w:t>
      </w:r>
      <w:r>
        <w:t>https://mcp.opencaselaw.ch/entscheid/vd_findinfo_HC___2011___470</w:t>
      </w:r>
    </w:p>
    <w:p>
      <w:r>
        <w:t>FR: VD_FINDINFO HC / 2011 / 470 du 16 août 2011</w:t>
      </w:r>
    </w:p>
    <w:p>
      <w:r>
        <w:t>IT: VD_FINDINFO HC / 2011 / 470 del 16 agosto 2011</w:t>
      </w:r>
    </w:p>
    <w:p>
      <w:pPr>
        <w:pStyle w:val="Heading2"/>
      </w:pPr>
      <w:r>
        <w:t>Regeste</w:t>
      </w:r>
    </w:p>
    <w:p>
      <w:r>
        <w:t>DIRECTIVE{INJONCTION}, DÉBITEUR, OBLIGATION D'ENTRETIEN, ENFANT | 291 CC, 308 al. 1 let. a CPC (CH), 308 al. 2 CPC (CH), 317 al. 1 CPC (CH), 317 al. 2 CPC (CH)</w:t>
      </w:r>
    </w:p>
    <w:p>
      <w:pPr>
        <w:pStyle w:val="Heading2"/>
      </w:pPr>
      <w:r>
        <w:t>Erwägungen</w:t>
      </w:r>
    </w:p>
    <w:p>
      <w:r>
        <w:rPr>
          <w:b/>
        </w:rPr>
        <w:t>E. 1</w:t>
      </w:r>
    </w:p>
    <w:p>
      <w:r>
        <w:t>Depuis l'entrée en vigueur le 1 er janvier 2011 du CPC (Code de procédure civile suisse du 19 décembre 2008; RS 272), les recours sont régis par le droit en vigueur au moment de la communication de la décision aux parties. La remise aux parties d'un dispositif écrit vaut "communication de la décision" au sens de l'art 405 al. 1 CPC (ATF 137 III 127, JT 2011 II 226). En l'occurrence, le jugement attaqué a été notifié aux parties le 3 mai 2011 au plus tôt, de sorte que ce sont les règles contenues dans le CPC qui sont applicables à la procédure de recours.</w:t>
      </w:r>
    </w:p>
    <w:p>
      <w:r>
        <w:rPr>
          <w:b/>
        </w:rPr>
        <w:t>E. 2</w:t>
      </w:r>
    </w:p>
    <w:p>
      <w:r>
        <w:t>L'appel est recevable contre les décisions finales de première instance (art. 308 al. 1 let. a CPC) dans les causes non patrimoniales ou dont la valeur litigieuse excède 10'000 francs (art. 308 al. 2 CPC). En se référant au dernier état des conclusions, l'art. 308 al. 2 CPC vise les conclusions litigieuses devant l'instance précédente, non l'enjeu de l'appel (Tappy, Les voies de droit du nouveau Code de procédure civile, JT 2010 III 126). S'agissant de prestations périodiques, elles doivent être capitalisées selon la règle posée par l'art. 92 al. 2 CPC. La procédure sommaire s'applique à l'avis au débiteur au sens de l'art. 291 CC (art. 302 al. 1 let. c CPC). Le délai pour l'introduction de l'appel est dès lors de dix jours (art. 314 al. 1 CPC). Formé en temps utile par une partie qui y a intérêt (art. 59 al. 2 let. a CPC) et portant sur des conclusions dont la capitalisation dépasse 10'000 fr., le présent appel est formellement recevable.</w:t>
      </w:r>
    </w:p>
    <w:p>
      <w:r>
        <w:rPr>
          <w:b/>
        </w:rPr>
        <w:t>E. 3</w:t>
      </w:r>
    </w:p>
    <w:p>
      <w:r>
        <w:t>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in JT 2010 III 140). Cette limitation ne vaut pas lorsque la maxime d'office est applicable, les conclusions des parties n'étant que des propositions qui ne lient pas le juge (Reetz /Hilber, ZPO-Komm, n. 76 ad art. 317 CPC). En l'espèce, la maxime d'office est applicable, dès lors que l'art. 302 CPC figure sous le titre 7 "Procédure applicable aux enfants dans les affaires du droit de la famille" (Jeandin, Code de procédure civile commenté, n. 1 ad art. 302 CPC) et que l'art. 296 al. 2 CPC en impose le principe, tout comme la maxime inquisitoire s'agissant d'avis aux débiteurs pour les contributions en faveur des enfants (Hegnauer, Berner Kommentar, 1997, n. 11 ad art. 291 CC, p. 481). Les conclusions de l'appelante telles qu'exprimées sont ainsi recevables, quand bien même elles ont été précisées, voire modifiées quant au numéro de compte de l'appelante.</w:t>
      </w:r>
    </w:p>
    <w:p>
      <w:r>
        <w:rPr>
          <w:b/>
        </w:rPr>
        <w:t>E. 4</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Le large pouvoir d'examen en fait et en droit ainsi défini s'applique même si la décision attaquée est de nature provisionnelle (JT 2011 III 43; Tappy, op. cit., JT 2010 III 135-136).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aux parties de démontrer que ces conditions sont réalisées, de sorte que l'appel doit indiquer spécialement les faits et preuves nouveaux et motiver spécialement les raisons qui les rendent admissibles selon lui (JT 2011 III 43).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Procédure civile,   t. II, 2 ème éd., n. 2415 p. 438; JT 2011 III 43). b) L'appelante a changé de relation bancaire après que le jugement attaqué a été rendu. Elle demande dès lors que l'avis au débiteur soit corrigé et prévoie le versement de la pension sur son nouveau compte ouvert auprès du [...] à [...]. Compte tenu du pouvoir du juge de l'appel, il est possible de tenir compte de vrais novas, postérieurs à la décision attaquée (Tappy, op. cit., p. 139), de telle sorte que le changement d'institution financière introduit depuis la première décision peut être pris en compte dans le dispositif.</w:t>
      </w:r>
    </w:p>
    <w:p>
      <w:r>
        <w:rPr>
          <w:b/>
        </w:rPr>
        <w:t>E. 5</w:t>
      </w:r>
    </w:p>
    <w:p>
      <w:r>
        <w:t>L'appelante soutient que le premier juge a fait une erreur de calcul en fixant la contribution pour laquelle l'avis aux débiteurs est donné, en ce sens que la l'âge des enfants ne correspond pas aux pensions fixées dans l'arrêt rendu par la Chambre des recours le 30 juin 2005. a) L'art. 291 CC s'applique lorsque la pension n'est, de manière répétée, pas payée ou pas versée dans les délais, quelle qu'en soit la raison, et qu'il y a lieu de craindre que de tels manquements se produisent également à l'avenir (CREC II 19 décembre 2006/917 et réf.; ZR 1955, n. 99, p. 206; Hegnauer, Berner Kommentar, n. 9 ad art. 291 CC, p. 481). N'importe quel retard ne saurait toutefois justifier un avis aux débiteurs. Les contributions d'entretien doivent être sérieusement menacées (Schwenzer, FamKomm. Scheidung, 2ème éd., 2010, n. 2 ad art. 132 CC, pp. 332-333). En outre, l'avis aux débiteurs doit respecter le principe de la proportionnalité et ne se justifie pas en cas de simple retard dans les paiements, à moins d'un état d'insolvabilité du débiteur (FamPra.ch 2003, p. 440). Enfin, l'avis ne doit pas entamer le minimum vital du débiteur d'entretien (Bastons Bulletti, Commentaire romand, Code civil I, n. 9 ad art. 291 CC). La créance d'entretien doit résulter d'un titre exécutoire et clair (Bastons Bulletti, op. cit., n. 4 ad art. 291 CC). b) Le premier juge a retenu que le montant total des contributions d'entretien dues par l'intimé, compte tenu de l'âge des enfants A.X.________ et B.X.________, s'élevait à 900 fr., soit 450 fr. pour chacun des enfants. En l'occurrence, l'arrêt rendu par la Chambre des recours le 30 juin 2005, définitif et exécutoire, imposait à l'intimé de contribuer à l'entretien de chacun de ses enfants par le service régulier d'une pension mensuelle, allocations familiales non comprises, de 400 fr. jusqu'à ce que l'enfant ait atteint l'âge de 7 ans révolus, de 450 fr. dès lors et jusqu'à ce que l'enfant ait atteint l'âge de 12 ans révolus, et de 500 fr. au-delà et jusqu'à l'âge de 18 ans révolus (ch. II bis du dispositif). Actuellement, A.X.________ est âgé de 13 ans révolus depuis le 28 juin 2011 et doit bénéficier ainsi d'une pension mensuelle de 500 francs. Quant à B.X.________, il a eu 9 ans révolus le</w:t>
      </w:r>
    </w:p>
    <w:p>
      <w:r>
        <w:rPr>
          <w:b/>
        </w:rPr>
        <w:t>E. 9</w:t>
      </w:r>
    </w:p>
    <w:p>
      <w:r>
        <w:t>janvier 2011 et la pension fixée pour ce qui le concerne est de 450 fr. par mois. Au total, et sous réserve de ce qui suit, le montant total qui doit être prélevé auprès des débiteurs de l'intimé est de 950 fr. par mois, allocations familiales non comprises. En retenant un chiffre total de 900 fr. par mois, hors indexation, le premier juge s'est trompé. Il s'agit donc d'ordonner aux débiteurs de retenir un montant effectif, indexation comprise selon le chiffre II ter de l'arrêt du 30 juin 2005 précité, de 985 fr. par mois (950 fr. x 109.6/105.7). Le moyen doit être admis. 6. L'appelante soutient encore que l'avis devait mentionner que les allocations familiales étaient dues en sus et qu'elles devaient être versées directement à la créancière d'aliments. a) Selon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Le juge peut déroger à cette règle en particulier dans le cas où la contribution est en soi largement suffisante, alors que l'on ignore encore lequel des parents touchera les allocations pour enfant, ou encore lorsque le débiteur d'une contribution fixe a des revenus extrêmement fluctuants (Meier/Stettler, Droit de la filiation, 4ème éd., 2009, n. 989, p. 578). Les allocations familiales ne doivent pas être ajoutées aux revenus du parent habilité à les percevoir, mais déduites directement des besoins de l'enfant (ATF 137 III 59, SJ 2011 I p. 221). b) Dans son avis au débiteur, le premier juge n'a pas prévu que les éventuelles allocations familiales touchées par l'intimé soient directement versées par l'employeur à l'appelante. Or, la créance résulte de l'arrêt rendu par la Chambre des recours le 23 septembre 2005, qui imposait à l'intimé de contribuer à l'entretien de chacun de ses enfants par le service régulier d'une pension mensuelle, allocations familiales non comprises (ch. II bis du dispositif). Il apparaît donc que, pour autant que les allocations familiales ne soient pas versées directement à la créancière de l'entretien, ce qui ne semble pas être le cas, il se justifie de comprendre les éventuelles allocations familiales dans le paiement imposé. Le moyen doit être admis. 7. Le chiffre II des conclusions de l'appel est libellé de telle manière qu'il prévoit le prélèvement et le versement des contributions d'entretien dès et y compris le mois de mai 2011. Le premier juge a prévu dans son avis aux débiteurs que la pension serait prélevée et versée à l'appelante dès le premier salaire qui suivrait la réception de l'ordre. L'avis aux débiteurs porte en règle générale sur les contributions échues depuis le dépôt de la requête ou depuis la décision. La question de savoir s'il peut porter sur l'arriéré des contributions peut en l'espèce rester ouverte (Bastons Bulletti, Les moyens d'exécution des contributions, in Pichonnaz /Rumo-Jungo, Droit patrimonial de la famille, p. 80; Bastons Bulletti, op. cit., n. 12 ad art. 291 CC, p. 1802; TF 5P.75/2004 du 26 mai 2004, c. 3), dès lors que l'appelante demande le versement pour les contributions échues depuis le jugement de première instance. Celui-ci ayant été rendu le 2 mai 2011, on s'en tiendra au prélèvement des contributions depuis ce mois. 8. En définitive, l'appel est admis et le jugement réformé dans le sens qui précède. Les frais judiciaires de deuxième instance, arrêtés à 600 fr., sont mis à la charge de l'intimé qui succombe (art. 106 CPC et art. 63 al. 1 TFJC [tarif des frais judiciaires en matière civile du 28 septembre 2010]). L'appelante I.________ obtenant gain de cause, des dépens, comprenant l'avance de frais de deuxième instance, à hauteur de 1'600 fr., lui seront alloués (art. 37 al. 2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