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467 vom 10. August 2011</w:t>
      </w:r>
    </w:p>
    <w:p>
      <w:r>
        <w:t>VD Tribunal cantonal, 2011-08-10, FR</w:t>
      </w:r>
    </w:p>
    <w:p>
      <w:r>
        <w:rPr>
          <w:b/>
        </w:rPr>
        <w:t xml:space="preserve">Quelle: </w:t>
      </w:r>
      <w:r>
        <w:t>https://mcp.opencaselaw.ch/entscheid/vd_findinfo_HC___2011___467</w:t>
      </w:r>
    </w:p>
    <w:p>
      <w:r>
        <w:t>FR: VD_FINDINFO HC / 2011 / 467 du 10 août 2011</w:t>
      </w:r>
    </w:p>
    <w:p>
      <w:r>
        <w:t>IT: VD_FINDINFO HC / 2011 / 467 del 10 agosto 2011</w:t>
      </w:r>
    </w:p>
    <w:p>
      <w:pPr>
        <w:pStyle w:val="Heading2"/>
      </w:pPr>
      <w:r>
        <w:t>Regeste</w:t>
      </w:r>
    </w:p>
    <w:p>
      <w:r>
        <w:t>DIVORCE, MESURE PROVISIONNELLE, DROIT DE GARDE, DÉMÉNAGEMENT | 137 al. 2 CC, 176 al. 3 CC, 276 al. 1 CPC (CH), 308 al. 1 let. b CPC (CH), 308 CPC (CH), 310 CPC (CH)</w:t>
      </w:r>
    </w:p>
    <w:p>
      <w:pPr>
        <w:pStyle w:val="Heading2"/>
      </w:pPr>
      <w:r>
        <w:t>Erwägungen</w:t>
      </w:r>
    </w:p>
    <w:p>
      <w:r>
        <w:rPr>
          <w:b/>
        </w:rPr>
        <w:t>E. 1</w:t>
      </w:r>
    </w:p>
    <w:p>
      <w:r>
        <w:t>a) L’ordonnance attaquée a été rendue le 30 juin 2011, de sorte que les voies de droit sont régies par le Code de procédure civile suisse du 19 décembre 2008 (ci-après: CPC ; RS 272), entré en vigueur le 1 er janvier 2011 (art. 405 al. 1 CPC). b)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p.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 RSV 173.01]). L’appel a été formé en temps utile, par une partie qui y a intérêt. Bien que l’appelant ne chiffre pas ses conclusions relatives aux contributions dues par l’intimée pour l’entretien des enfants, dites conclusions, capitalisées selon l’art. 92 al. 2 CPC, sont manifestement supérieures à 10'000 fr., les autres conclusions étant de nature non patrimoniales. L’appel est ainsi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p. 138). Il appartient à l'appelant de démontrer que ces conditions sont réalisées, de sorte que l'appel doit indiquer spécialement de tels faits et preuves nouveaux et motiver spécialement les raisons qui les rendent admissibles selon lui (Tappy, op. cit., pp. 136-137). c) Toutefois, dès lors que la cause porte sur le droit de garde de C.Z.________ et D.Z.________, sur le droit de visite du parent non gardien et sur les contributions dues pour l’entretien des enfants, le litige est soumis à la maxime d’office. Les pièces produites en deuxième instance par l’appelant sont donc recevables. Il ressort du courrier adressé le 1 er juin 2011 par le Directeur général de [...] à l’appelant qu’une réduction du taux d'activité de celui-ci pourrait être acceptée « jusqu’à un seuil de 60% ».</w:t>
      </w:r>
    </w:p>
    <w:p>
      <w:r>
        <w:rPr>
          <w:b/>
        </w:rPr>
        <w:t>E. 3</w:t>
      </w:r>
    </w:p>
    <w:p>
      <w:r>
        <w:t>a) L’appelant conclut notamment à ce que la garde de C.Z.________ et D.Z.________ lui soit confiée. Il fait en substance valoir qu’il est plus disponible que l’intimée pour prendre personnellement soin des enfants, l’intimée étant très occupée par la naissance des jumeaux alors qu’il est lui-même à une année de la retraite et que son employeur a consenti à une réduction de 40% de son activité professionnelle. En outre, le déménagement de l’intimée, détentrice du droit de garde selon le prononcé de mesures protectrices de l’union conjugale du 3 août 2006, perturberait les enfants. Il souligne qu’il est préférable que ceux-ci ne soient pas arrachés à leur environnement actuel, F.________ ayant à cet égard déclaré qu’il serait difficile pour eux de quitter leurs amis et leur entourage, sans toutefois que le premier juge tienne compte de ce témoignage. De plus, le déménagement contraindrait C.Z.________ et D.Z.________ à effectuer plusieurs soirs par semaine des trajets beaucoup plus longs qu’actuellement pour se rendre à leurs activités sociales et sportives. b)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JT 1988 I 230 ; TF 5P.112/2000 du 22 mai 2000 c. 2a). En vertu de l’art. 176 al. 3 CC (Code civil suisse du 10 décembre 1907 ; RS 210), relatif à l’organisation de la vie séparée, lorsque les époux ont des enfants mineurs, le juge ordonne les mesures nécessaires, d’après les dispositions sur les effets de la filiation (cf. art. 273 ss CC) ;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et à s’en occuper personnellement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 ce dernier critère revêt un poids particulier lorsque les capacités d’éducation et de soin sont similaires (ATF 117 lI 353 c. 3, JT 1994 I 183). Le juge appelé à se prononcer sur le fond qui, par son expérience en la matière, connaît mieux les parties et le milieu dans lequel l’enfant est amené à vivre, dispose d’un large pouvoir d’appréciation (ATF 117 lI 353 précité c. 2 ; TF 5A_860/2009 du 26 mars 2010 c. 3.1). c) En l’espèce, C.Z.________ a atteint l’âge de l’adolescence et D.Z.________ est un pré-adolescent. Il ne ressort pas du dossier qu’ils seraient perturbés par le déménagement à [...], où ils bénéficieront chacun de leur chambre, ni par la naissance des jumeaux, dont ils ont au contraire déclaré se réjouir. Ils sont en outre suffisamment grands pour assumer les déplacements liés à l’exercice de leurs activités sportives respectives à Crissier et à Renens. Sur le plan de leur scolarité, comme l’a relevé avec raison le premier juge, ils seront de toute manière confrontés à un changement, au vu de leur âge et de leur passage respectif au gymnase ou à l'école secondaire. Selon les témoins, les enfants vont bien ; ils sont équilibrés, polis et intelligents. Lors de leur audition, C.Z.________ et D.Z.________ ont déclaré qu’ils s’entendaient bien avec l’ami de leur mère et que leur prochain déménagement ne les perturbait absolument pas. Ils ont ainsi souhaité continuer à partager leur vie avec leur mère et les jumeaux, ce qui confirme les bonnes capacités éducatives de l’intimée. La plus grande disponibilité alléguée par l’appelant, ainsi que la possibilité qu’il aurait de réduire son activité professionnelle, ne changent rien à cela et ce dernier échoue à rendre vraisemblable que les enfants seraient déstabilisés par le déménagement. A cet égard, c’est à tort qu’il soutient que le témoignage de F.________ n’a pas été pris en compte par le premier juge. En effet, contrairement à ce qu’il prétend, ce témoin n’a pas déclaré que ce serait difficile pour C.Z.________ et D.Z.________ de quitter leurs amis et leur entourage ; elle a indiqué qu’elle n’avait pas parlé du déménagement avec eux et a formulé une remarque toute générale sur les difficultés que pourraient rencontrer des enfants dans de pareilles circonstances. Au vu de ce qui précède, séparer aujourd’hui C.Z.________ et D.Z.________ de leur mère – qui en a eu la garde depuis la séparation des parties en 2006 – et de leurs demi-frères ou sœurs serait bien plus préjudiciable à leur développement que le déménagement, dès lors que cela entraînerait des changements autrement plus importants pour eux que le fait d’aller habiter dans une autre commune. Mal fondé, l’appel doit ainsi être rejeté. Compte tenu du maintien de l’attribution du droit de garde à l’intimée, il n’est nul besoin d’examiner les conclusions de l’appelant relatives au droit de visite de l’intimée et à la contribution de celle-ci à l’entretien des enfants.</w:t>
      </w:r>
    </w:p>
    <w:p>
      <w:r>
        <w:rPr>
          <w:b/>
        </w:rPr>
        <w:t>E. 4</w:t>
      </w:r>
    </w:p>
    <w:p>
      <w:r>
        <w:t>En conclusion, l’appel doit être rejeté, en application de l’art. 312 al. 1 CPC, et l’ordonnance confirmée. Vu l’issue de l’appel, les frais judiciaires de deuxième instance, arrêtés à 600 fr. (art. 65 al. 2 TFJC [tarif du 28 septembre 2010 des frais judiciaires civils ; RSV 270.11.5]), sont mis à la charge de l’appelant (art. 106 al. 1 CPC). Il n’y a pas lieu d’allouer de dépens à l’intimée, qui n’a pas été invitée à déposer une réponse.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A.Z.________. IV. Il n'est pas alloué de dépens. V. L'arrêt motivé est exécutoire. Le juge délégué : La greffière : Du 11 août 2011 Le dispositif de l'arrêt qui précède est communiqué par écrit aux intéressés. La greffière : Du L'arrêt qui précède, dont la rédaction a été approuvée à huis clos, est notifié en expédition complète, par l'envoi de photocopies, à : ‑ Me Alain Vuithier (pour A.Z.________), ‑ Me Colette Chable (pour B.Z.________).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