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 vom 12. Oktober 2010</w:t>
      </w:r>
    </w:p>
    <w:p>
      <w:r>
        <w:t>VD Tribunal cantonal, 2010-10-12, FR</w:t>
      </w:r>
    </w:p>
    <w:p>
      <w:r>
        <w:rPr>
          <w:b/>
        </w:rPr>
        <w:t xml:space="preserve">Quelle: </w:t>
      </w:r>
      <w:r>
        <w:t>https://mcp.opencaselaw.ch/entscheid/vd_findinfo_HC___2011___45</w:t>
      </w:r>
    </w:p>
    <w:p>
      <w:r>
        <w:t>FR: VD_FINDINFO HC / 2011 / 45 du 12 octobre 2010</w:t>
      </w:r>
    </w:p>
    <w:p>
      <w:r>
        <w:t>IT: VD_FINDINFO HC / 2011 / 45 del 12 ottobre 2010</w:t>
      </w:r>
    </w:p>
    <w:p>
      <w:pPr>
        <w:pStyle w:val="Heading2"/>
      </w:pPr>
      <w:r>
        <w:t>Regeste</w:t>
      </w:r>
    </w:p>
    <w:p>
      <w:r>
        <w:t>SERVITUDE, SERVITUDE FONCIÈRE, JARDIN, LIMITATION{EN GÉNÉRAL} | 737 CC, 738 CC, 451 ch. 3 CPC, 452 al. 1 CPC, 452 al. 2 CPC</w:t>
      </w:r>
    </w:p>
    <w:p>
      <w:pPr>
        <w:pStyle w:val="Heading2"/>
      </w:pPr>
      <w:r>
        <w:t>Erwägungen</w:t>
      </w:r>
    </w:p>
    <w:p>
      <w:r>
        <w:rPr>
          <w:b/>
        </w:rPr>
        <w:t>E. 10</w:t>
      </w:r>
    </w:p>
    <w:p>
      <w:r>
        <w:t>et 11 du bordereau n° 1 des demandeurs du 30 novembre 2007), mais ces pièces ne sont pas signées et ne revêtent donc pas la forme écrite. Selon toute apparence, elles ne constituent pas non plus des réquisitions d'inscription et, si tant est qu'elles puissent être interprétées comme telles, elles ne sont de toute manière d'aucune utilité puisqu'hormis quelques mentions, elles reprennent à l'identique le libellé de la servitude. L'aspect litigieux de la servitude ne pouvant par conséquent être précisé au moyen d'un acte constitutif ou d'une réquisition d'inscription, il convient de recourir à un autre élément d'interprétation. Ici, le critère tiré de l'exercice de la servitude n'est pas applicable : la servitude, en effet, n'est pas exercée depuis suffisamment longtemps au sens où ce critère doit être compris (TF in RNRF 2003, n. 39, p. 305; CREC I 2 juillet 2008/314); il faut donc se fonder sur le moyen subsidiaire d'interprétation qu'est le but pouvant être raisonnablement attribué à la servitude (ATF 109 II 412 c. 3, JT 1984 I 628). e) Pour la définitition d'ouvrage, le premier juge s'est référé à l'art. 58 CO (Werro, Commentaire romand, nn. 6 à 11 ad art. 58 CO; Engel, Traité des obligations, 2 ème éd., pp. 547 à 550). Il est adéquat d'affirmer que les aménagements, tout particulièrement les dallages et les amenées d'eau, constituent des ouvrages au sens du Code des obligations. f) En l'espèce, les intimés ont pour obligation d'implanter un jardin d'agrément sur le terrain compris dans l'assiette de la servitude. Ils ne peuvent toutefois y installer un quelconque ouvrage, construction ou procéder à un dépôt sans avoir l'accord préalable et exprès des recourants. La création d'un jardin d'agrément implique communément, comme le jugement l'indique d'ailleurs à juste titre, un minimum d'aménagements (cf. p. 34). Parmi ces aménagements, l'installation de conduites d'eau et d'électricité, comme l'ont fait les intimés, peut apparaître comme un minimum au regard des nécessités d'entretien qu'implique un jardin. On rappellera à cet égard qu'avant que les intimés ne deviennent propriétaires des lots, l'espace objet de la servitude ne paraissait pas véritablement entretenu :  l'herbe ne semblait pas être tondue ni traitée et des petites fleurs éparses la recouvraient (cf. jgt, p. 27, n°13 in fine). En procédant à de telles installations, les intimés n'ont donc fait que répondre à l'exigence qui leur a été posée d'implanter un jardin, sans enfreindre la restriction qui leur a été corollairement appliquée. Il serait en effet difficilement imaginable, à moins d'enlever toute utilité à la servitude, qu'à chaque fois que les intimés souhaiteront procéder à un quelconque aménagement, ils s'en réfèrent au préalable aux recourants. Le but de la servitude et les intérêts respectifs des fonds des parties impose par conséquent d'interpréter le point litigieux en ce sens que les intimés pourront procéder à tous aménagements communément admissibles dans un jardin d'agrément, sans avoir à requérir au préalable l'autorisation des recourants. En revanche, pour tout ouvrage ou construction n'entrant pas dans cette catégorie, ils devront avoir reçu, au préalable, l'aval exprès des recourants. 5. Il s'ensuit que le recours doit être rejeté en application de l'art. 465 al. 1 CPC-VD et le jugement confirmé. Les frais de deuxième instance des recourants C.P.________ et S.P.________, solidairement entre eux, sont arrêtés à 700 fr. (art. 232 al. 1 TFJC [tarif des frais judiciaires en matière civile du 4 décembre 1984; RSV 270.11.5]). Par ces motifs, la Chambre des recours du Tribunal cantonal, statuant à huis clos, en application de l'art. 465 al. 1 CPC-VD, prononce : I. Le recours est rejeté. II. Le jugement est confirmé. III. Les frais de deuxième instance des recourants C.P.________ et S.P.________, solidairement entre eux, sont arrêtés à 700 fr. (sept cents francs). IV. L'arrêt motivé est exécutoire Le président :               La greffière : Du</w:t>
      </w:r>
    </w:p>
    <w:p>
      <w:r>
        <w:rPr>
          <w:b/>
        </w:rPr>
        <w:t>E. 12</w:t>
      </w:r>
    </w:p>
    <w:p>
      <w:r>
        <w:t>octobre 2010 Le dispositif de l'arrêt qui précède est communiqué par écrit aux intéressés. La greffière : Du L'arrêt qui précède, dont la rédaction a été approuvée à huis clos, est notifié en expédition complète, par l'envoi de photocopies, à : ‑ Me Alain Thévenaz (pour C.P.________ et S.P.________), ‑ Me Daniel Pache (pour S.________, F.________ et H.________). La Chambre des recours considère que la valeur litigieuse est de 40'000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